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2026年绵阳分公司底盘分装项目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FSCZB2025110143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2026年绵阳分公司底盘分装项目招标公告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2026年绵阳分公司底盘分装项目</w:t>
      </w:r>
    </w:p>
    <w:p w14:paraId="15020D03">
      <w:pPr>
        <w:pStyle w:val="73"/>
      </w:pPr>
      <w:r>
        <w:rPr>
          <w:rFonts w:hint="eastAsia"/>
        </w:rPr>
        <w:t>项目编号：</w:t>
      </w:r>
      <w:r>
        <w:rPr>
          <w:rFonts w:hint="eastAsia"/>
          <w:highlight w:val="yellow"/>
        </w:rPr>
        <w:t xml:space="preserve"> FSCZB2025110143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2026年绵阳分公司底盘分装项目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4509C0DA">
      <w:pPr>
        <w:pStyle w:val="72"/>
        <w:rPr>
          <w:highlight w:val="yellow"/>
        </w:rPr>
      </w:pPr>
      <w:bookmarkStart w:id="5" w:name="_Toc47976592"/>
      <w:r>
        <w:rPr>
          <w:rFonts w:hint="eastAsia"/>
          <w:highlight w:val="yellow"/>
        </w:rPr>
        <w:t>投标文件的递交</w:t>
      </w:r>
      <w:bookmarkEnd w:id="5"/>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0E0A455">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7266EE8">
      <w:pPr>
        <w:pStyle w:val="72"/>
        <w:numPr>
          <w:ilvl w:val="0"/>
          <w:numId w:val="0"/>
        </w:numPr>
        <w:ind w:leftChars="0"/>
        <w:rPr>
          <w:highlight w:val="yellow"/>
        </w:rPr>
      </w:pP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14</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2026年绵阳分公司底盘分装项目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FSCZB2025110143</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对绵阳分公司厂区底盘相关产品件提供相应的分装服务。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154A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7296E1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9A857DF">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88264A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12B26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097A1D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E403FB">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51230550">
      <w:pPr>
        <w:pStyle w:val="76"/>
        <w:numPr>
          <w:ilvl w:val="0"/>
          <w:numId w:val="0"/>
        </w:numPr>
        <w:ind w:leftChars="0"/>
        <w:rPr>
          <w:rFonts w:hint="eastAsia" w:cs="Times New Roman"/>
          <w:highlight w:val="none"/>
          <w:lang w:val="en-US" w:eastAsia="zh-CN"/>
        </w:rPr>
      </w:pPr>
    </w:p>
    <w:bookmarkEnd w:id="9"/>
    <w:p w14:paraId="50DC6C75">
      <w:pPr>
        <w:pStyle w:val="72"/>
      </w:pPr>
      <w:bookmarkStart w:id="10" w:name="_Toc47976598"/>
      <w:r>
        <w:rPr>
          <w:rFonts w:hint="eastAsia"/>
        </w:rPr>
        <w:t>合格的投标人。</w:t>
      </w:r>
      <w:bookmarkEnd w:id="10"/>
    </w:p>
    <w:p w14:paraId="5FC8160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（1）投标人须遵守《中华人民共和国招标投标法》《中华人民共和国民法典》及其他有关的法律和法规；为中华人民共和国境内注册的独立法人机构，具有独立承担民事责任能力；</w:t>
      </w:r>
    </w:p>
    <w:p w14:paraId="2FFEF7D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具有独立法人资格，注册资本金500万元以上；经营范围应包括汽车配件生产加工、管材管件加工等服务项目；有3年以上汽车行业零部件加工分装等服务经验，有经验丰富的分装业务的员工团队，有为客户提供一体化零部件加工服务的硬件资源和运营能力；</w:t>
      </w:r>
    </w:p>
    <w:p w14:paraId="1AA8D93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（3）投标人须提供具有统一社会信用代码的新版营业执照副本原件及复印件（加盖公章）；</w:t>
      </w:r>
    </w:p>
    <w:p w14:paraId="0062EB7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5CC3E46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（5）投标人在近三年内在经营活动中无违法记录，且营业收入和利润保持正常比值。</w:t>
      </w:r>
    </w:p>
    <w:p w14:paraId="0B70D80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（6）具有健全的财务会计制度，财务状况和良好的市场行为。没有处于被有权机关吊销营业执照、吊销资质、停业整顿、取消投标资格以及财产被接管、冻结或进入破产程序等。</w:t>
      </w:r>
    </w:p>
    <w:p w14:paraId="4D711A5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（7）投标人没有被列入招标人处《黑名单》（《黑名单》指投标人与招标人在以往或正在进行的合作中，存在招标人认为的违反合同约定或违反法律法规等的失信行为）的。</w:t>
      </w:r>
    </w:p>
    <w:p w14:paraId="6148CC5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（8）投标人须提供法人授权委托书原件（在投标文件副本中可用复印件）及投标单位的法定代表人或授权代表的身份证原件及复印件（加盖公章）；</w:t>
      </w:r>
    </w:p>
    <w:p w14:paraId="76ECC9B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（9）投标人须具有履行合同所必需的设备、财务、技术、服务等方面的资质和能力；</w:t>
      </w:r>
    </w:p>
    <w:p w14:paraId="67098A83">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（10）投标人须具有完全履行招标文件的所有要求的能力；</w:t>
      </w:r>
    </w:p>
    <w:p w14:paraId="7C4D41E3">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（11）投标人须认可招标人的工作指令，包括节假日能正常开展工作的要求；</w:t>
      </w:r>
    </w:p>
    <w:p w14:paraId="292F9DF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（12）投标人并非联合投标或者代理投标；</w:t>
      </w:r>
    </w:p>
    <w:p w14:paraId="69D7771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2CEC869C">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bookmarkStart w:id="40" w:name="_GoBack"/>
      <w:bookmarkEnd w:id="40"/>
      <w:r>
        <w:rPr>
          <w:rFonts w:hint="eastAsia" w:hAnsi="宋体" w:cs="宋体"/>
          <w:sz w:val="24"/>
          <w:szCs w:val="24"/>
          <w:highlight w:val="yellow"/>
          <w:lang w:val="en-US" w:eastAsia="zh-CN"/>
        </w:rPr>
        <w:t>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6E70AD99">
      <w:pPr>
        <w:pStyle w:val="74"/>
        <w:numPr>
          <w:ilvl w:val="0"/>
          <w:numId w:val="16"/>
        </w:numPr>
        <w:ind w:left="425" w:leftChars="0" w:hanging="425" w:firstLineChars="0"/>
        <w:rPr>
          <w:b w:val="0"/>
          <w:bCs/>
          <w:highlight w:val="yellow"/>
        </w:rPr>
      </w:pPr>
      <w:r>
        <w:rPr>
          <w:rFonts w:hint="eastAsia" w:cs="Times New Roman"/>
          <w:b w:val="0"/>
          <w:bCs/>
          <w:highlight w:val="yellow"/>
        </w:rPr>
        <w:t>技术标：</w:t>
      </w:r>
    </w:p>
    <w:p w14:paraId="6074A401">
      <w:pPr>
        <w:pStyle w:val="74"/>
        <w:numPr>
          <w:ilvl w:val="0"/>
          <w:numId w:val="0"/>
        </w:numPr>
        <w:ind w:leftChars="0" w:firstLine="210" w:firstLineChars="100"/>
        <w:rPr>
          <w:rFonts w:hint="eastAsia"/>
          <w:b w:val="0"/>
          <w:bCs/>
          <w:highlight w:val="none"/>
        </w:rPr>
      </w:pPr>
      <w:r>
        <w:rPr>
          <w:rFonts w:hint="eastAsia"/>
          <w:b w:val="0"/>
          <w:bCs/>
          <w:highlight w:val="none"/>
        </w:rPr>
        <w:t>1、底盘分装总体方案</w:t>
      </w:r>
    </w:p>
    <w:p w14:paraId="57454435">
      <w:pPr>
        <w:pStyle w:val="74"/>
        <w:numPr>
          <w:ilvl w:val="0"/>
          <w:numId w:val="0"/>
        </w:numPr>
        <w:ind w:leftChars="0" w:firstLine="210" w:firstLineChars="100"/>
        <w:rPr>
          <w:rFonts w:hint="eastAsia"/>
          <w:b w:val="0"/>
          <w:bCs/>
          <w:highlight w:val="none"/>
        </w:rPr>
      </w:pPr>
      <w:r>
        <w:rPr>
          <w:rFonts w:hint="eastAsia"/>
          <w:b w:val="0"/>
          <w:bCs/>
          <w:highlight w:val="none"/>
        </w:rPr>
        <w:t>2、服务保障方案</w:t>
      </w:r>
    </w:p>
    <w:p w14:paraId="49E6EFE8">
      <w:pPr>
        <w:pStyle w:val="74"/>
        <w:numPr>
          <w:ilvl w:val="0"/>
          <w:numId w:val="0"/>
        </w:numPr>
        <w:ind w:leftChars="0" w:firstLine="420" w:firstLineChars="200"/>
        <w:rPr>
          <w:rFonts w:hint="eastAsia"/>
          <w:b w:val="0"/>
          <w:bCs/>
          <w:highlight w:val="none"/>
        </w:rPr>
      </w:pPr>
      <w:r>
        <w:rPr>
          <w:rFonts w:hint="eastAsia"/>
          <w:b w:val="0"/>
          <w:bCs/>
          <w:highlight w:val="none"/>
        </w:rPr>
        <w:t>2.1分装作业计划保障方案</w:t>
      </w:r>
    </w:p>
    <w:p w14:paraId="550F301A">
      <w:pPr>
        <w:pStyle w:val="74"/>
        <w:numPr>
          <w:ilvl w:val="0"/>
          <w:numId w:val="0"/>
        </w:numPr>
        <w:ind w:leftChars="0" w:firstLine="420" w:firstLineChars="200"/>
        <w:rPr>
          <w:rFonts w:hint="eastAsia"/>
          <w:b w:val="0"/>
          <w:bCs/>
          <w:highlight w:val="none"/>
        </w:rPr>
      </w:pPr>
      <w:r>
        <w:rPr>
          <w:rFonts w:hint="eastAsia"/>
          <w:b w:val="0"/>
          <w:bCs/>
          <w:highlight w:val="none"/>
        </w:rPr>
        <w:t>2.2分装作业质量保障方案.</w:t>
      </w:r>
    </w:p>
    <w:p w14:paraId="66EE4E5D">
      <w:pPr>
        <w:pStyle w:val="74"/>
        <w:numPr>
          <w:ilvl w:val="0"/>
          <w:numId w:val="0"/>
        </w:numPr>
        <w:ind w:leftChars="0" w:firstLine="420" w:firstLineChars="200"/>
        <w:rPr>
          <w:rFonts w:hint="eastAsia"/>
          <w:b w:val="0"/>
          <w:bCs/>
          <w:highlight w:val="none"/>
        </w:rPr>
      </w:pPr>
      <w:r>
        <w:rPr>
          <w:rFonts w:hint="eastAsia"/>
          <w:b w:val="0"/>
          <w:bCs/>
          <w:highlight w:val="none"/>
        </w:rPr>
        <w:t>2.3分装作业人员保障方案</w:t>
      </w:r>
    </w:p>
    <w:p w14:paraId="5F8BD4C7">
      <w:pPr>
        <w:pStyle w:val="74"/>
        <w:numPr>
          <w:ilvl w:val="0"/>
          <w:numId w:val="0"/>
        </w:numPr>
        <w:ind w:leftChars="0" w:firstLine="420" w:firstLineChars="200"/>
        <w:rPr>
          <w:rFonts w:hint="eastAsia"/>
          <w:b w:val="0"/>
          <w:bCs/>
          <w:highlight w:val="none"/>
        </w:rPr>
      </w:pPr>
      <w:r>
        <w:rPr>
          <w:rFonts w:hint="eastAsia"/>
          <w:b w:val="0"/>
          <w:bCs/>
          <w:highlight w:val="none"/>
        </w:rPr>
        <w:t>2.4分装作业设备维修保障方案.</w:t>
      </w:r>
    </w:p>
    <w:p w14:paraId="3E6A2A61">
      <w:pPr>
        <w:pStyle w:val="74"/>
        <w:numPr>
          <w:ilvl w:val="0"/>
          <w:numId w:val="0"/>
        </w:numPr>
        <w:ind w:leftChars="0" w:firstLine="210" w:firstLineChars="100"/>
        <w:rPr>
          <w:rFonts w:hint="eastAsia"/>
          <w:b w:val="0"/>
          <w:bCs/>
          <w:highlight w:val="none"/>
        </w:rPr>
      </w:pPr>
      <w:r>
        <w:rPr>
          <w:rFonts w:hint="eastAsia"/>
          <w:b w:val="0"/>
          <w:bCs/>
          <w:highlight w:val="none"/>
        </w:rPr>
        <w:t>3、投标方可以根据自身的技术、经验等优势以及对本技术规范书和招标文件的理解，写明委托方招标项目应进行的优于本招标文件要求的其它方案或建议意见；投标方的这些努力，委托方表示感谢，并将有助于投标方优先胜出；</w:t>
      </w:r>
    </w:p>
    <w:p w14:paraId="42BE1CAB">
      <w:pPr>
        <w:pStyle w:val="74"/>
        <w:numPr>
          <w:ilvl w:val="0"/>
          <w:numId w:val="0"/>
        </w:numPr>
        <w:ind w:leftChars="0" w:firstLine="210" w:firstLineChars="100"/>
        <w:rPr>
          <w:b w:val="0"/>
          <w:bCs/>
          <w:highlight w:val="none"/>
        </w:rPr>
      </w:pPr>
      <w:r>
        <w:rPr>
          <w:rFonts w:hint="eastAsia"/>
          <w:b w:val="0"/>
          <w:bCs/>
          <w:highlight w:val="none"/>
        </w:rPr>
        <w:t>4、即使有建议意见或建议方案，仍应依据本招标文件要求，编写符合要求的投标文件。建议方案或建议意见，应以单独篇章或文件，予以说明。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与技术联系人联系拟定）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601.66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62955C20">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yellow"/>
        </w:rPr>
        <w:t>日9:00:00</w:t>
      </w:r>
    </w:p>
    <w:p w14:paraId="7AEB0E7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24689D34">
      <w:pPr>
        <w:pStyle w:val="13"/>
        <w:spacing w:line="410" w:lineRule="exact"/>
        <w:ind w:left="549" w:leftChars="118" w:hanging="301" w:hangingChars="10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2E11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5C63A5F0">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75E1BE0D">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7044FF11">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21FA233E">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1426C2F0">
            <w:pPr>
              <w:jc w:val="center"/>
              <w:rPr>
                <w:rFonts w:hint="eastAsia" w:ascii="宋体" w:hAnsi="宋体"/>
                <w:b/>
                <w:bCs/>
                <w:szCs w:val="21"/>
              </w:rPr>
            </w:pPr>
            <w:r>
              <w:rPr>
                <w:rFonts w:hint="eastAsia" w:ascii="宋体" w:hAnsi="宋体"/>
                <w:b/>
                <w:bCs/>
                <w:szCs w:val="21"/>
              </w:rPr>
              <w:t>最高得分</w:t>
            </w:r>
          </w:p>
        </w:tc>
      </w:tr>
      <w:tr w14:paraId="0CC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66029989">
            <w:pPr>
              <w:rPr>
                <w:rFonts w:hint="eastAsia" w:ascii="宋体" w:hAnsi="宋体"/>
                <w:b/>
                <w:bCs/>
                <w:szCs w:val="21"/>
              </w:rPr>
            </w:pPr>
            <w:r>
              <w:rPr>
                <w:rFonts w:hint="eastAsia" w:ascii="宋体" w:hAnsi="宋体"/>
                <w:b/>
                <w:bCs/>
                <w:szCs w:val="21"/>
              </w:rPr>
              <w:t>一、技术因素</w:t>
            </w:r>
          </w:p>
        </w:tc>
      </w:tr>
      <w:tr w14:paraId="126A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179D8E55">
            <w:pPr>
              <w:rPr>
                <w:rFonts w:hint="eastAsia" w:ascii="宋体" w:hAnsi="宋体"/>
                <w:szCs w:val="21"/>
              </w:rPr>
            </w:pPr>
            <w:r>
              <w:rPr>
                <w:rFonts w:hint="eastAsia" w:ascii="宋体" w:hAnsi="宋体"/>
                <w:szCs w:val="21"/>
              </w:rPr>
              <w:t>1、技术评分标准要量化，各项目权重合理。</w:t>
            </w:r>
          </w:p>
        </w:tc>
      </w:tr>
      <w:tr w14:paraId="7C5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CBE51FA">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152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63998FD2">
            <w:pPr>
              <w:rPr>
                <w:rFonts w:hint="eastAsia" w:ascii="宋体" w:hAnsi="宋体"/>
                <w:szCs w:val="21"/>
              </w:rPr>
            </w:pPr>
            <w:r>
              <w:rPr>
                <w:rFonts w:hint="eastAsia" w:ascii="宋体" w:hAnsi="宋体"/>
                <w:szCs w:val="21"/>
              </w:rPr>
              <w:t>2、评委打分不得超过得分界限。</w:t>
            </w:r>
          </w:p>
        </w:tc>
      </w:tr>
      <w:tr w14:paraId="218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51A412D9">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1E73FB41">
            <w:pPr>
              <w:jc w:val="center"/>
              <w:rPr>
                <w:rFonts w:hint="eastAsia" w:ascii="宋体" w:hAnsi="宋体"/>
                <w:szCs w:val="21"/>
              </w:rPr>
            </w:pPr>
            <w:r>
              <w:rPr>
                <w:rFonts w:hint="eastAsia" w:ascii="宋体" w:hAnsi="宋体"/>
                <w:szCs w:val="21"/>
              </w:rPr>
              <w:t>100</w:t>
            </w:r>
          </w:p>
        </w:tc>
        <w:tc>
          <w:tcPr>
            <w:tcW w:w="1134" w:type="dxa"/>
            <w:vMerge w:val="restart"/>
            <w:vAlign w:val="center"/>
          </w:tcPr>
          <w:p w14:paraId="627AC015">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1A27CCCF">
            <w:pPr>
              <w:jc w:val="center"/>
              <w:rPr>
                <w:rFonts w:hint="eastAsia" w:ascii="宋体" w:hAnsi="宋体"/>
                <w:szCs w:val="21"/>
              </w:rPr>
            </w:pPr>
            <w:r>
              <w:rPr>
                <w:rFonts w:hint="eastAsia" w:ascii="宋体" w:hAnsi="宋体"/>
                <w:szCs w:val="21"/>
              </w:rPr>
              <w:t>技术方案</w:t>
            </w:r>
          </w:p>
        </w:tc>
        <w:tc>
          <w:tcPr>
            <w:tcW w:w="5406" w:type="dxa"/>
          </w:tcPr>
          <w:p w14:paraId="03E8D940">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16E31AA2">
            <w:pPr>
              <w:jc w:val="center"/>
              <w:rPr>
                <w:rFonts w:hint="eastAsia" w:ascii="宋体" w:hAnsi="宋体"/>
                <w:szCs w:val="21"/>
              </w:rPr>
            </w:pPr>
            <w:r>
              <w:rPr>
                <w:rFonts w:hint="eastAsia" w:ascii="宋体" w:hAnsi="宋体"/>
                <w:szCs w:val="21"/>
              </w:rPr>
              <w:t>10</w:t>
            </w:r>
          </w:p>
        </w:tc>
      </w:tr>
      <w:tr w14:paraId="0AA3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7FA6A758">
            <w:pPr>
              <w:jc w:val="center"/>
              <w:rPr>
                <w:rFonts w:hint="eastAsia" w:ascii="宋体" w:hAnsi="宋体"/>
                <w:szCs w:val="21"/>
              </w:rPr>
            </w:pPr>
          </w:p>
        </w:tc>
        <w:tc>
          <w:tcPr>
            <w:tcW w:w="831" w:type="dxa"/>
            <w:vMerge w:val="continue"/>
            <w:vAlign w:val="center"/>
          </w:tcPr>
          <w:p w14:paraId="376EDC72">
            <w:pPr>
              <w:jc w:val="center"/>
              <w:rPr>
                <w:rFonts w:hint="eastAsia" w:ascii="宋体" w:hAnsi="宋体"/>
                <w:szCs w:val="21"/>
              </w:rPr>
            </w:pPr>
          </w:p>
        </w:tc>
        <w:tc>
          <w:tcPr>
            <w:tcW w:w="1134" w:type="dxa"/>
            <w:vMerge w:val="continue"/>
            <w:vAlign w:val="center"/>
          </w:tcPr>
          <w:p w14:paraId="330BD675">
            <w:pPr>
              <w:jc w:val="center"/>
              <w:rPr>
                <w:rFonts w:hint="eastAsia" w:ascii="宋体" w:hAnsi="宋体"/>
                <w:szCs w:val="21"/>
              </w:rPr>
            </w:pPr>
          </w:p>
        </w:tc>
        <w:tc>
          <w:tcPr>
            <w:tcW w:w="1134" w:type="dxa"/>
            <w:vMerge w:val="continue"/>
            <w:vAlign w:val="center"/>
          </w:tcPr>
          <w:p w14:paraId="682F268F">
            <w:pPr>
              <w:jc w:val="center"/>
              <w:rPr>
                <w:rFonts w:hint="eastAsia" w:ascii="宋体" w:hAnsi="宋体"/>
                <w:szCs w:val="21"/>
              </w:rPr>
            </w:pPr>
          </w:p>
        </w:tc>
        <w:tc>
          <w:tcPr>
            <w:tcW w:w="5406" w:type="dxa"/>
          </w:tcPr>
          <w:p w14:paraId="73E736E7">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08323EE5">
            <w:pPr>
              <w:jc w:val="center"/>
              <w:rPr>
                <w:rFonts w:hint="eastAsia" w:ascii="宋体" w:hAnsi="宋体"/>
                <w:szCs w:val="21"/>
              </w:rPr>
            </w:pPr>
          </w:p>
        </w:tc>
      </w:tr>
      <w:tr w14:paraId="13D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41F6F22B">
            <w:pPr>
              <w:jc w:val="center"/>
              <w:rPr>
                <w:rFonts w:hint="eastAsia" w:ascii="宋体" w:hAnsi="宋体"/>
                <w:szCs w:val="21"/>
              </w:rPr>
            </w:pPr>
          </w:p>
        </w:tc>
        <w:tc>
          <w:tcPr>
            <w:tcW w:w="831" w:type="dxa"/>
            <w:vMerge w:val="continue"/>
            <w:vAlign w:val="center"/>
          </w:tcPr>
          <w:p w14:paraId="39B537B5">
            <w:pPr>
              <w:jc w:val="center"/>
              <w:rPr>
                <w:rFonts w:hint="eastAsia" w:ascii="宋体" w:hAnsi="宋体"/>
                <w:szCs w:val="21"/>
              </w:rPr>
            </w:pPr>
          </w:p>
        </w:tc>
        <w:tc>
          <w:tcPr>
            <w:tcW w:w="1134" w:type="dxa"/>
            <w:vMerge w:val="continue"/>
            <w:vAlign w:val="center"/>
          </w:tcPr>
          <w:p w14:paraId="7826FDA8">
            <w:pPr>
              <w:jc w:val="center"/>
              <w:rPr>
                <w:rFonts w:hint="eastAsia" w:ascii="宋体" w:hAnsi="宋体"/>
                <w:szCs w:val="21"/>
              </w:rPr>
            </w:pPr>
          </w:p>
        </w:tc>
        <w:tc>
          <w:tcPr>
            <w:tcW w:w="1134" w:type="dxa"/>
            <w:vMerge w:val="restart"/>
            <w:vAlign w:val="center"/>
          </w:tcPr>
          <w:p w14:paraId="0ADE0D3F">
            <w:pPr>
              <w:jc w:val="center"/>
              <w:rPr>
                <w:rFonts w:hint="eastAsia" w:ascii="宋体" w:hAnsi="宋体"/>
                <w:szCs w:val="21"/>
              </w:rPr>
            </w:pPr>
            <w:r>
              <w:rPr>
                <w:rFonts w:hint="eastAsia" w:ascii="宋体" w:hAnsi="宋体"/>
                <w:szCs w:val="21"/>
              </w:rPr>
              <w:t>项目规划</w:t>
            </w:r>
          </w:p>
        </w:tc>
        <w:tc>
          <w:tcPr>
            <w:tcW w:w="5406" w:type="dxa"/>
          </w:tcPr>
          <w:p w14:paraId="03AEDD11">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66638AF9">
            <w:pPr>
              <w:jc w:val="center"/>
              <w:rPr>
                <w:rFonts w:hint="eastAsia" w:ascii="宋体" w:hAnsi="宋体"/>
                <w:szCs w:val="21"/>
              </w:rPr>
            </w:pPr>
            <w:r>
              <w:rPr>
                <w:rFonts w:hint="eastAsia" w:ascii="宋体" w:hAnsi="宋体"/>
                <w:szCs w:val="21"/>
              </w:rPr>
              <w:t>20</w:t>
            </w:r>
          </w:p>
        </w:tc>
      </w:tr>
      <w:tr w14:paraId="02D8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47FDF59B">
            <w:pPr>
              <w:jc w:val="center"/>
              <w:rPr>
                <w:rFonts w:hint="eastAsia" w:ascii="宋体" w:hAnsi="宋体"/>
                <w:szCs w:val="21"/>
              </w:rPr>
            </w:pPr>
          </w:p>
        </w:tc>
        <w:tc>
          <w:tcPr>
            <w:tcW w:w="831" w:type="dxa"/>
            <w:vMerge w:val="continue"/>
            <w:vAlign w:val="center"/>
          </w:tcPr>
          <w:p w14:paraId="74C41525">
            <w:pPr>
              <w:jc w:val="center"/>
              <w:rPr>
                <w:rFonts w:hint="eastAsia" w:ascii="宋体" w:hAnsi="宋体"/>
                <w:szCs w:val="21"/>
              </w:rPr>
            </w:pPr>
          </w:p>
        </w:tc>
        <w:tc>
          <w:tcPr>
            <w:tcW w:w="1134" w:type="dxa"/>
            <w:vMerge w:val="continue"/>
            <w:vAlign w:val="center"/>
          </w:tcPr>
          <w:p w14:paraId="216C247B">
            <w:pPr>
              <w:jc w:val="center"/>
              <w:rPr>
                <w:rFonts w:hint="eastAsia" w:ascii="宋体" w:hAnsi="宋体"/>
                <w:szCs w:val="21"/>
              </w:rPr>
            </w:pPr>
          </w:p>
        </w:tc>
        <w:tc>
          <w:tcPr>
            <w:tcW w:w="1134" w:type="dxa"/>
            <w:vMerge w:val="continue"/>
            <w:vAlign w:val="center"/>
          </w:tcPr>
          <w:p w14:paraId="4CC035DC">
            <w:pPr>
              <w:jc w:val="center"/>
              <w:rPr>
                <w:rFonts w:hint="eastAsia" w:ascii="宋体" w:hAnsi="宋体"/>
                <w:szCs w:val="21"/>
              </w:rPr>
            </w:pPr>
          </w:p>
        </w:tc>
        <w:tc>
          <w:tcPr>
            <w:tcW w:w="5406" w:type="dxa"/>
          </w:tcPr>
          <w:p w14:paraId="04DF1516">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7D38B080">
            <w:pPr>
              <w:jc w:val="center"/>
              <w:rPr>
                <w:rFonts w:hint="eastAsia" w:ascii="宋体" w:hAnsi="宋体"/>
                <w:szCs w:val="21"/>
              </w:rPr>
            </w:pPr>
            <w:r>
              <w:rPr>
                <w:rFonts w:ascii="宋体" w:hAnsi="宋体"/>
                <w:szCs w:val="21"/>
              </w:rPr>
              <w:t>10</w:t>
            </w:r>
          </w:p>
        </w:tc>
      </w:tr>
      <w:tr w14:paraId="185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3627A7B2">
            <w:pPr>
              <w:jc w:val="center"/>
              <w:rPr>
                <w:rFonts w:hint="eastAsia" w:ascii="宋体" w:hAnsi="宋体"/>
                <w:szCs w:val="21"/>
              </w:rPr>
            </w:pPr>
          </w:p>
        </w:tc>
        <w:tc>
          <w:tcPr>
            <w:tcW w:w="831" w:type="dxa"/>
            <w:vMerge w:val="continue"/>
            <w:vAlign w:val="center"/>
          </w:tcPr>
          <w:p w14:paraId="2A592957">
            <w:pPr>
              <w:jc w:val="center"/>
              <w:rPr>
                <w:rFonts w:hint="eastAsia" w:ascii="宋体" w:hAnsi="宋体"/>
                <w:szCs w:val="21"/>
              </w:rPr>
            </w:pPr>
          </w:p>
        </w:tc>
        <w:tc>
          <w:tcPr>
            <w:tcW w:w="1134" w:type="dxa"/>
            <w:vMerge w:val="continue"/>
            <w:vAlign w:val="center"/>
          </w:tcPr>
          <w:p w14:paraId="3993B8A3">
            <w:pPr>
              <w:jc w:val="center"/>
              <w:rPr>
                <w:rFonts w:hint="eastAsia" w:ascii="宋体" w:hAnsi="宋体"/>
                <w:szCs w:val="21"/>
              </w:rPr>
            </w:pPr>
          </w:p>
        </w:tc>
        <w:tc>
          <w:tcPr>
            <w:tcW w:w="1134" w:type="dxa"/>
            <w:vMerge w:val="continue"/>
            <w:vAlign w:val="center"/>
          </w:tcPr>
          <w:p w14:paraId="731F0A5F">
            <w:pPr>
              <w:jc w:val="center"/>
              <w:rPr>
                <w:rFonts w:hint="eastAsia" w:ascii="宋体" w:hAnsi="宋体"/>
                <w:szCs w:val="21"/>
              </w:rPr>
            </w:pPr>
          </w:p>
        </w:tc>
        <w:tc>
          <w:tcPr>
            <w:tcW w:w="5406" w:type="dxa"/>
          </w:tcPr>
          <w:p w14:paraId="08DDD175">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40B91B31">
            <w:pPr>
              <w:jc w:val="center"/>
              <w:rPr>
                <w:rFonts w:hint="eastAsia" w:ascii="宋体" w:hAnsi="宋体"/>
                <w:szCs w:val="21"/>
              </w:rPr>
            </w:pPr>
            <w:r>
              <w:rPr>
                <w:rFonts w:hint="eastAsia" w:ascii="宋体" w:hAnsi="宋体"/>
                <w:szCs w:val="21"/>
              </w:rPr>
              <w:t>10</w:t>
            </w:r>
          </w:p>
        </w:tc>
      </w:tr>
      <w:tr w14:paraId="7848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121FED12">
            <w:pPr>
              <w:jc w:val="center"/>
              <w:rPr>
                <w:rFonts w:hint="eastAsia" w:ascii="宋体" w:hAnsi="宋体"/>
                <w:szCs w:val="21"/>
              </w:rPr>
            </w:pPr>
          </w:p>
        </w:tc>
        <w:tc>
          <w:tcPr>
            <w:tcW w:w="831" w:type="dxa"/>
            <w:vMerge w:val="continue"/>
            <w:vAlign w:val="center"/>
          </w:tcPr>
          <w:p w14:paraId="6DD67B31">
            <w:pPr>
              <w:jc w:val="center"/>
              <w:rPr>
                <w:rFonts w:hint="eastAsia" w:ascii="宋体" w:hAnsi="宋体"/>
                <w:szCs w:val="21"/>
              </w:rPr>
            </w:pPr>
          </w:p>
        </w:tc>
        <w:tc>
          <w:tcPr>
            <w:tcW w:w="2268" w:type="dxa"/>
            <w:gridSpan w:val="2"/>
            <w:vMerge w:val="restart"/>
            <w:vAlign w:val="center"/>
          </w:tcPr>
          <w:p w14:paraId="5840F4B8">
            <w:pPr>
              <w:jc w:val="center"/>
              <w:rPr>
                <w:rFonts w:hint="eastAsia" w:ascii="宋体" w:hAnsi="宋体"/>
                <w:szCs w:val="21"/>
              </w:rPr>
            </w:pPr>
            <w:r>
              <w:rPr>
                <w:rFonts w:hint="eastAsia" w:ascii="宋体" w:hAnsi="宋体"/>
                <w:szCs w:val="21"/>
              </w:rPr>
              <w:t>质量保障</w:t>
            </w:r>
          </w:p>
        </w:tc>
        <w:tc>
          <w:tcPr>
            <w:tcW w:w="5406" w:type="dxa"/>
          </w:tcPr>
          <w:p w14:paraId="4EF922AA">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46B3BC35">
            <w:pPr>
              <w:jc w:val="center"/>
              <w:rPr>
                <w:rFonts w:hint="eastAsia" w:ascii="宋体" w:hAnsi="宋体"/>
                <w:szCs w:val="21"/>
              </w:rPr>
            </w:pPr>
            <w:r>
              <w:rPr>
                <w:rFonts w:hint="eastAsia" w:ascii="宋体" w:hAnsi="宋体"/>
                <w:szCs w:val="21"/>
              </w:rPr>
              <w:t>20</w:t>
            </w:r>
          </w:p>
        </w:tc>
      </w:tr>
      <w:tr w14:paraId="522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1DB77B0">
            <w:pPr>
              <w:jc w:val="center"/>
              <w:rPr>
                <w:rFonts w:hint="eastAsia" w:ascii="宋体" w:hAnsi="宋体"/>
                <w:szCs w:val="21"/>
              </w:rPr>
            </w:pPr>
          </w:p>
        </w:tc>
        <w:tc>
          <w:tcPr>
            <w:tcW w:w="831" w:type="dxa"/>
            <w:vMerge w:val="continue"/>
            <w:vAlign w:val="center"/>
          </w:tcPr>
          <w:p w14:paraId="5B8B3F20">
            <w:pPr>
              <w:jc w:val="center"/>
              <w:rPr>
                <w:rFonts w:hint="eastAsia" w:ascii="宋体" w:hAnsi="宋体"/>
                <w:szCs w:val="21"/>
              </w:rPr>
            </w:pPr>
          </w:p>
        </w:tc>
        <w:tc>
          <w:tcPr>
            <w:tcW w:w="2268" w:type="dxa"/>
            <w:gridSpan w:val="2"/>
            <w:vMerge w:val="continue"/>
            <w:vAlign w:val="center"/>
          </w:tcPr>
          <w:p w14:paraId="0801A491">
            <w:pPr>
              <w:jc w:val="center"/>
              <w:rPr>
                <w:rFonts w:hint="eastAsia" w:ascii="宋体" w:hAnsi="宋体"/>
                <w:szCs w:val="21"/>
              </w:rPr>
            </w:pPr>
          </w:p>
        </w:tc>
        <w:tc>
          <w:tcPr>
            <w:tcW w:w="5406" w:type="dxa"/>
          </w:tcPr>
          <w:p w14:paraId="42131569">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7129229A">
            <w:pPr>
              <w:jc w:val="center"/>
              <w:rPr>
                <w:rFonts w:hint="eastAsia" w:ascii="宋体" w:hAnsi="宋体"/>
                <w:szCs w:val="21"/>
              </w:rPr>
            </w:pPr>
            <w:r>
              <w:rPr>
                <w:rFonts w:hint="eastAsia" w:ascii="宋体" w:hAnsi="宋体"/>
                <w:szCs w:val="21"/>
              </w:rPr>
              <w:t>10</w:t>
            </w:r>
          </w:p>
        </w:tc>
      </w:tr>
      <w:tr w14:paraId="046E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63FC429F">
            <w:pPr>
              <w:jc w:val="center"/>
              <w:rPr>
                <w:rFonts w:hint="eastAsia" w:ascii="宋体" w:hAnsi="宋体"/>
                <w:szCs w:val="21"/>
              </w:rPr>
            </w:pPr>
          </w:p>
        </w:tc>
        <w:tc>
          <w:tcPr>
            <w:tcW w:w="831" w:type="dxa"/>
            <w:vMerge w:val="continue"/>
            <w:vAlign w:val="center"/>
          </w:tcPr>
          <w:p w14:paraId="5F94B71C">
            <w:pPr>
              <w:jc w:val="center"/>
              <w:rPr>
                <w:rFonts w:hint="eastAsia" w:ascii="宋体" w:hAnsi="宋体"/>
                <w:szCs w:val="21"/>
              </w:rPr>
            </w:pPr>
          </w:p>
        </w:tc>
        <w:tc>
          <w:tcPr>
            <w:tcW w:w="2268" w:type="dxa"/>
            <w:gridSpan w:val="2"/>
            <w:vAlign w:val="center"/>
          </w:tcPr>
          <w:p w14:paraId="674195D8">
            <w:pPr>
              <w:jc w:val="center"/>
              <w:rPr>
                <w:rFonts w:hint="eastAsia" w:ascii="宋体" w:hAnsi="宋体"/>
                <w:szCs w:val="21"/>
              </w:rPr>
            </w:pPr>
            <w:r>
              <w:rPr>
                <w:rFonts w:hint="eastAsia" w:ascii="宋体" w:hAnsi="宋体"/>
                <w:szCs w:val="21"/>
              </w:rPr>
              <w:t>项目管理</w:t>
            </w:r>
          </w:p>
        </w:tc>
        <w:tc>
          <w:tcPr>
            <w:tcW w:w="5406" w:type="dxa"/>
          </w:tcPr>
          <w:p w14:paraId="5A1E7627">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5DA7AB94">
            <w:pPr>
              <w:jc w:val="center"/>
              <w:rPr>
                <w:rFonts w:hint="eastAsia" w:ascii="宋体" w:hAnsi="宋体" w:eastAsia="宋体"/>
                <w:szCs w:val="21"/>
              </w:rPr>
            </w:pPr>
            <w:r>
              <w:rPr>
                <w:rFonts w:hint="eastAsia" w:ascii="宋体" w:hAnsi="宋体"/>
                <w:szCs w:val="21"/>
              </w:rPr>
              <w:t>10</w:t>
            </w:r>
          </w:p>
        </w:tc>
      </w:tr>
      <w:tr w14:paraId="77A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146C5036">
            <w:pPr>
              <w:jc w:val="center"/>
              <w:rPr>
                <w:rFonts w:hint="eastAsia" w:ascii="宋体" w:hAnsi="宋体"/>
                <w:szCs w:val="21"/>
              </w:rPr>
            </w:pPr>
          </w:p>
        </w:tc>
        <w:tc>
          <w:tcPr>
            <w:tcW w:w="831" w:type="dxa"/>
            <w:vMerge w:val="continue"/>
            <w:vAlign w:val="center"/>
          </w:tcPr>
          <w:p w14:paraId="1A4DE643">
            <w:pPr>
              <w:jc w:val="center"/>
              <w:rPr>
                <w:rFonts w:hint="eastAsia" w:ascii="宋体" w:hAnsi="宋体"/>
                <w:szCs w:val="21"/>
              </w:rPr>
            </w:pPr>
          </w:p>
        </w:tc>
        <w:tc>
          <w:tcPr>
            <w:tcW w:w="2268" w:type="dxa"/>
            <w:gridSpan w:val="2"/>
            <w:vAlign w:val="center"/>
          </w:tcPr>
          <w:p w14:paraId="3987461F">
            <w:pPr>
              <w:jc w:val="center"/>
              <w:rPr>
                <w:rFonts w:hint="eastAsia" w:ascii="宋体" w:hAnsi="宋体"/>
                <w:szCs w:val="21"/>
              </w:rPr>
            </w:pPr>
            <w:r>
              <w:rPr>
                <w:rFonts w:hint="eastAsia" w:ascii="宋体" w:hAnsi="宋体"/>
                <w:szCs w:val="21"/>
              </w:rPr>
              <w:t>业绩</w:t>
            </w:r>
          </w:p>
        </w:tc>
        <w:tc>
          <w:tcPr>
            <w:tcW w:w="5406" w:type="dxa"/>
          </w:tcPr>
          <w:p w14:paraId="1599EC6E">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4D0FF148">
            <w:pPr>
              <w:jc w:val="center"/>
              <w:rPr>
                <w:rFonts w:hint="eastAsia" w:ascii="宋体" w:hAnsi="宋体"/>
                <w:szCs w:val="21"/>
              </w:rPr>
            </w:pPr>
            <w:r>
              <w:rPr>
                <w:rFonts w:hint="eastAsia" w:ascii="宋体" w:hAnsi="宋体"/>
                <w:szCs w:val="21"/>
              </w:rPr>
              <w:t>10</w:t>
            </w:r>
          </w:p>
        </w:tc>
      </w:tr>
      <w:tr w14:paraId="1D1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0A2A5B49">
            <w:pPr>
              <w:numPr>
                <w:ilvl w:val="0"/>
                <w:numId w:val="27"/>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15FCC4AE">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367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598DF849">
            <w:pPr>
              <w:rPr>
                <w:rFonts w:hint="eastAsia" w:ascii="宋体" w:hAnsi="宋体"/>
                <w:b/>
                <w:bCs/>
                <w:szCs w:val="21"/>
              </w:rPr>
            </w:pPr>
            <w:r>
              <w:rPr>
                <w:rFonts w:hint="eastAsia" w:ascii="宋体" w:hAnsi="宋体"/>
                <w:b/>
                <w:bCs/>
                <w:szCs w:val="21"/>
              </w:rPr>
              <w:t>二、整体要求</w:t>
            </w:r>
          </w:p>
        </w:tc>
      </w:tr>
      <w:tr w14:paraId="7258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234D94F7">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2BDA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4C8BD799">
            <w:pPr>
              <w:rPr>
                <w:rFonts w:hint="eastAsia" w:ascii="宋体" w:hAnsi="宋体"/>
                <w:szCs w:val="21"/>
              </w:rPr>
            </w:pPr>
            <w:r>
              <w:rPr>
                <w:rFonts w:hint="eastAsia" w:ascii="宋体" w:hAnsi="宋体"/>
                <w:szCs w:val="21"/>
              </w:rPr>
              <w:t>2、投标单位提交的投标文件和资料必须真实有效。</w:t>
            </w:r>
          </w:p>
        </w:tc>
      </w:tr>
      <w:tr w14:paraId="28E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A4C36F5">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366FC46F">
      <w:pPr>
        <w:rPr>
          <w:rFonts w:hint="eastAsia"/>
        </w:rPr>
      </w:pPr>
    </w:p>
    <w:p w14:paraId="082700C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9"/>
      <w:bookmarkStart w:id="13" w:name="OLE_LINK25"/>
      <w:bookmarkStart w:id="14" w:name="OLE_LINK26"/>
      <w:bookmarkStart w:id="15" w:name="OLE_LINK27"/>
      <w:bookmarkStart w:id="16" w:name="OLE_LINK28"/>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189FF83B">
      <w:pPr>
        <w:pStyle w:val="5"/>
        <w:rPr>
          <w:rFonts w:hint="eastAsia"/>
        </w:rPr>
      </w:pPr>
      <w:r>
        <w:rPr>
          <w:rFonts w:hint="eastAsia" w:ascii="宋体" w:hAnsi="宋体" w:cs="宋体"/>
          <w:b/>
          <w:sz w:val="21"/>
          <w:szCs w:val="21"/>
          <w:lang w:val="en-US" w:eastAsia="zh-CN"/>
        </w:rPr>
        <w:t>6.合同为底盘分装业务外包协议。</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CC6AC8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算方式：合同约定期内内饰分装方面委托方无任何问题，委托方按每月下线辆份支付服务费(需提供相应的收据、增值税发票等)；（结算公式为当月结算费用=上月生产下线辆份×价格/辆份（不含税）=当月应付款金额（不含税）；</w:t>
      </w:r>
    </w:p>
    <w:p w14:paraId="226A8D5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本次招标产量以绵阳14430辆份预计）</w:t>
      </w:r>
    </w:p>
    <w:p w14:paraId="6AE17F7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59FEB895">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C2A3F23">
      <w:pPr>
        <w:jc w:val="center"/>
        <w:rPr>
          <w:rFonts w:hint="eastAsia" w:ascii="仿宋_GB2312" w:hAnsi="仿宋_GB2312" w:eastAsia="仿宋_GB2312" w:cs="仿宋_GB2312"/>
          <w:b/>
          <w:sz w:val="44"/>
          <w:szCs w:val="44"/>
        </w:rPr>
      </w:pPr>
      <w:r>
        <w:rPr>
          <w:rFonts w:hint="eastAsia" w:ascii="仿宋_GB2312" w:hAnsi="仿宋_GB2312" w:eastAsia="仿宋_GB2312" w:cs="仿宋_GB2312"/>
          <w:b/>
          <w:sz w:val="44"/>
          <w:szCs w:val="44"/>
        </w:rPr>
        <w:t>技术规范</w:t>
      </w:r>
    </w:p>
    <w:p w14:paraId="1BC4D245">
      <w:pPr>
        <w:jc w:val="center"/>
        <w:rPr>
          <w:rFonts w:hint="eastAsia" w:ascii="仿宋_GB2312" w:hAnsi="仿宋_GB2312" w:eastAsia="仿宋_GB2312" w:cs="仿宋_GB2312"/>
          <w:b/>
          <w:sz w:val="28"/>
          <w:szCs w:val="28"/>
        </w:rPr>
      </w:pPr>
    </w:p>
    <w:p w14:paraId="68C36F84">
      <w:pPr>
        <w:spacing w:line="480" w:lineRule="exact"/>
        <w:ind w:left="1925" w:leftChars="250" w:hanging="1400" w:hangingChars="500"/>
        <w:rPr>
          <w:rFonts w:hint="eastAsia"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）.分装要求：</w:t>
      </w:r>
    </w:p>
    <w:p w14:paraId="2C99FB9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（一）、生产作业计划：</w:t>
      </w:r>
    </w:p>
    <w:p w14:paraId="2A5675A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1、编制：甲方负责生产计划的编制,制定生产作业计划。</w:t>
      </w:r>
    </w:p>
    <w:p w14:paraId="51EC434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2、下达：甲方将生产作业计划提前两天传递给乙方，乙方根据甲方的生产作业计划组织业务开展。</w:t>
      </w:r>
    </w:p>
    <w:p w14:paraId="6FDF1E0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14:paraId="5D8F640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 物资管理：</w:t>
      </w:r>
    </w:p>
    <w:p w14:paraId="60FC719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1、记录：乙方建立甲方仓储物资的台账，指定固定人员管理，并保管好相关单据。保证现场实物、台账、单据与物资管理系统信息一致。</w:t>
      </w:r>
    </w:p>
    <w:p w14:paraId="4F9DEDD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2、盘点：乙方应按照甲方要求进行盘点，并形成相关记录，盘点范围包含乙方现场管理区域内所有产品。乙方对盘点结果数据准确性负全部责任。</w:t>
      </w:r>
    </w:p>
    <w:p w14:paraId="78BB32D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3、甲方有权对乙方的记录、盘点工作进行监督、核对，并有权对乙方的工作失误予以考核。</w:t>
      </w:r>
    </w:p>
    <w:p w14:paraId="409A501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（三）、生产管理：</w:t>
      </w:r>
    </w:p>
    <w:p w14:paraId="7AFFC1C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1、设备操作：乙方设备操作人员必须经过专门培训，并经甲方考评合格后，持证上岗；无证人员不得操作设备。乙方设备操作人员的培训由乙方负责。</w:t>
      </w:r>
    </w:p>
    <w:p w14:paraId="40BA8C7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2、产品摆放：乙方同意按要求执行甲方工艺文件，使用规定的工位器具，并按规定的数量、方式和排产顺序摆放整齐，不准出现超高、杂乱、混放等现象；乙方必须保证产品标示规范，标示卡与实物数量一致。</w:t>
      </w:r>
    </w:p>
    <w:p w14:paraId="4FABBE0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3、因乙方人员的设备操作及产品摆放不符合上述约定，导致产生安全生产事故，由乙方自行承担所有损失。如因此给甲方或第三方造成任何损失，乙方承担全部赔偿责任。</w:t>
      </w:r>
    </w:p>
    <w:p w14:paraId="0AA5AB4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4、乙方在使用甲方工位器具作业过程中，如出现人为原因损坏，乙方按照工位器具原价赔偿甲方。</w:t>
      </w:r>
    </w:p>
    <w:p w14:paraId="10A84DA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5、分装区域内附属设备设施在使用过程中如出现损坏，由乙方负责维修更换，甲方概不负责。</w:t>
      </w:r>
    </w:p>
    <w:p w14:paraId="23B80CD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 甲方负责监督管理乙方分装业务、分装区域内技术质量、现场管理等。</w:t>
      </w:r>
    </w:p>
    <w:p w14:paraId="66D1294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（四） 质量控制</w:t>
      </w:r>
    </w:p>
    <w:p w14:paraId="012AA50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1、乙方要提供质量管理体系认证证明，并提供相一致实施记录。</w:t>
      </w:r>
    </w:p>
    <w:p w14:paraId="5C0AA60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14:paraId="1F90779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3、乙方确保交付的产品经甲方检验人员的检验认可，符合甲方的质量标准要求。</w:t>
      </w:r>
    </w:p>
    <w:p w14:paraId="0448DCB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（五）、乙方承包的范围为：</w:t>
      </w:r>
    </w:p>
    <w:p w14:paraId="7A48DBF4">
      <w:pPr>
        <w:numPr>
          <w:ilvl w:val="0"/>
          <w:numId w:val="29"/>
        </w:numPr>
        <w:spacing w:line="480" w:lineRule="exact"/>
        <w:rPr>
          <w:rFonts w:hint="eastAsia" w:ascii="仿宋_GB2312" w:hAnsi="仿宋_GB2312" w:eastAsia="仿宋_GB2312" w:cs="仿宋_GB2312"/>
          <w:bCs/>
          <w:sz w:val="28"/>
          <w:szCs w:val="28"/>
        </w:rPr>
      </w:pPr>
      <w:bookmarkStart w:id="19" w:name="OLE_LINK2"/>
      <w:r>
        <w:rPr>
          <w:rFonts w:hint="eastAsia" w:ascii="仿宋_GB2312" w:hAnsi="仿宋_GB2312" w:eastAsia="仿宋_GB2312" w:cs="仿宋_GB2312"/>
          <w:bCs/>
          <w:sz w:val="28"/>
          <w:szCs w:val="28"/>
        </w:rPr>
        <w:t>乙方承包甲方的底盘分装业务。</w:t>
      </w:r>
      <w:bookmarkEnd w:id="19"/>
      <w:r>
        <w:rPr>
          <w:rFonts w:hint="eastAsia" w:ascii="仿宋_GB2312" w:hAnsi="仿宋_GB2312" w:eastAsia="仿宋_GB2312" w:cs="仿宋_GB2312"/>
          <w:bCs/>
          <w:sz w:val="28"/>
          <w:szCs w:val="28"/>
        </w:rPr>
        <w:t>具体工作范围如下：</w:t>
      </w:r>
    </w:p>
    <w:p w14:paraId="582B20A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 乙方负责将分装完毕后的分装总成投送到具体安装工位。</w:t>
      </w:r>
    </w:p>
    <w:p w14:paraId="099111D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2、乙方负责分装总成的工位器具的转运。</w:t>
      </w:r>
    </w:p>
    <w:p w14:paraId="1D67520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3、乙方负责分装总成及产品件的日常仓储管理。</w:t>
      </w:r>
    </w:p>
    <w:p w14:paraId="1FC1E0D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4、乙方负责安排人员针对车辆上线、下线、入库等过程中与承包范围内分装总成业务相关的问题处理、协调。</w:t>
      </w:r>
    </w:p>
    <w:p w14:paraId="6BDB178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5、乙方负责总装下线、入库等改制车辆的分装业务部分提供服务支持。</w:t>
      </w:r>
    </w:p>
    <w:p w14:paraId="4F219EA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6、乙方专人负责新产品试装验证、上场事宜。</w:t>
      </w:r>
    </w:p>
    <w:p w14:paraId="57D16BED">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7、分装过程中产品件存在的质量问题，乙方反馈甲方技术质量部协调相关产品件供方或质量监督部门处理。</w:t>
      </w:r>
    </w:p>
    <w:p w14:paraId="1826407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8、乙方承诺自己具有上述业务的承包资质，否则承担由此引起的一切法律后果。</w:t>
      </w:r>
    </w:p>
    <w:p w14:paraId="0E83AEC9">
      <w:pPr>
        <w:numPr>
          <w:ilvl w:val="0"/>
          <w:numId w:val="29"/>
        </w:numPr>
        <w:spacing w:line="480" w:lineRule="exact"/>
        <w:rPr>
          <w:rFonts w:hint="eastAsia" w:ascii="仿宋_GB2312" w:hAnsi="仿宋_GB2312" w:eastAsia="仿宋_GB2312" w:cs="仿宋_GB2312"/>
          <w:bCs/>
          <w:sz w:val="28"/>
          <w:szCs w:val="28"/>
        </w:rPr>
      </w:pPr>
      <w:bookmarkStart w:id="20" w:name="_Toc159"/>
      <w:bookmarkStart w:id="21" w:name="_Toc15889"/>
      <w:r>
        <w:rPr>
          <w:rFonts w:hint="eastAsia" w:ascii="仿宋_GB2312" w:hAnsi="仿宋_GB2312" w:eastAsia="仿宋_GB2312" w:cs="仿宋_GB2312"/>
          <w:bCs/>
          <w:sz w:val="28"/>
          <w:szCs w:val="28"/>
        </w:rPr>
        <w:t>二、质量要求</w:t>
      </w:r>
      <w:bookmarkEnd w:id="20"/>
      <w:bookmarkEnd w:id="21"/>
    </w:p>
    <w:p w14:paraId="6CD5062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（一）基本要求</w:t>
      </w:r>
    </w:p>
    <w:p w14:paraId="435AA5D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1、投标方要通过质量管理活动不断提高全体员工的质量意识，制定完善的作业工艺、检验制度和考核制度，主动采取质量预防措施，及时发现质量问题并及时纠正。</w:t>
      </w:r>
    </w:p>
    <w:p w14:paraId="0798290F">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3、如果在作业或调试过程中发生质量事故，投标方应及时查明原因，制订解决方案，并以书面形式报告招标方，并按商定的处理方案实施。</w:t>
      </w:r>
    </w:p>
    <w:p w14:paraId="736BC7A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4、如果投标方不能满足质量要求而被发包方责令停工超过五次，招标方有权要求投标方停工并撤出承包现场。本合同终止，投标方承担违约责任。</w:t>
      </w:r>
    </w:p>
    <w:p w14:paraId="08D7ACD6">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5、投标方为招标方提供的产品，其质量特性必须符合绵阳分公司质量标准，以及客户提出的其他需求等。</w:t>
      </w:r>
    </w:p>
    <w:p w14:paraId="550E4CC2">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6、投标方生产过程中要首先对自己的产品实施自检，对接收的产品互检，以保证各工序环节符合工艺要求。</w:t>
      </w:r>
    </w:p>
    <w:p w14:paraId="20A37F1A">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（二）发生不合格的处理：</w:t>
      </w:r>
    </w:p>
    <w:p w14:paraId="3B4FCD01">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1、投标方应采取切实可行的措施，避免由投标方人员责任或操作原因造成批量性返线，以保证平均一次下线合格率。</w:t>
      </w:r>
    </w:p>
    <w:p w14:paraId="7F7880EB">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14:paraId="4CF6A43E">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14:paraId="2D07B584">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4、投标方应对招标方的质量指标完成情况负责，由于投标方原因造成指标未完成的，由投标方无条件承担全部责任。</w:t>
      </w:r>
    </w:p>
    <w:p w14:paraId="1BCB5E6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5、违反工艺和质量保证体系，屡次出现质量问题，未及时整改、拒不整改的，对质量考核或索赔拒不执行的，招标方将从结算额中直接扣除。</w:t>
      </w:r>
    </w:p>
    <w:p w14:paraId="63F03F0C">
      <w:pPr>
        <w:numPr>
          <w:ilvl w:val="0"/>
          <w:numId w:val="29"/>
        </w:numPr>
        <w:spacing w:line="480" w:lineRule="exact"/>
        <w:rPr>
          <w:rFonts w:hint="eastAsia" w:ascii="仿宋_GB2312" w:hAnsi="仿宋_GB2312" w:eastAsia="仿宋_GB2312" w:cs="仿宋_GB2312"/>
          <w:bCs/>
          <w:sz w:val="28"/>
          <w:szCs w:val="28"/>
        </w:rPr>
      </w:pPr>
      <w:bookmarkStart w:id="22" w:name="_Toc29606"/>
      <w:bookmarkStart w:id="23" w:name="_Toc17452"/>
      <w:r>
        <w:rPr>
          <w:rFonts w:hint="eastAsia" w:ascii="仿宋_GB2312" w:hAnsi="仿宋_GB2312" w:eastAsia="仿宋_GB2312" w:cs="仿宋_GB2312"/>
          <w:bCs/>
          <w:sz w:val="28"/>
          <w:szCs w:val="28"/>
        </w:rPr>
        <w:t>三、人员要求：</w:t>
      </w:r>
      <w:bookmarkEnd w:id="22"/>
      <w:bookmarkEnd w:id="23"/>
    </w:p>
    <w:p w14:paraId="12AF95B7">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1、要求人员素质较高，无不良社会记录；</w:t>
      </w:r>
    </w:p>
    <w:p w14:paraId="750F4599">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2、为员工发放工装及配备合规的劳保护品，定期进行更换；按时进行职业健康查体，并提供查体报告复印件备查。</w:t>
      </w:r>
    </w:p>
    <w:p w14:paraId="65EE00A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3、为使用人员缴纳相应的保险 ；提供为员工缴纳工伤保险的相关证明； </w:t>
      </w:r>
    </w:p>
    <w:p w14:paraId="769C137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4、保证人员稳定，按照合同要求稳定数量，在岗员工必须持证上岗；</w:t>
      </w:r>
    </w:p>
    <w:p w14:paraId="5CA354F5">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5、在进入公司工作区域内必须严格遵守公司的相关制度，遵守员工劳动纪律；</w:t>
      </w:r>
    </w:p>
    <w:p w14:paraId="00FF12C0">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6、承包方按发包方的生产调度指令完成所承揽业务的作业，完成绵阳分公司提出的其他临时性协助工作；</w:t>
      </w:r>
    </w:p>
    <w:p w14:paraId="547EF7C3">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7、承包方负责运营人员的日常管理和安全培训教育工作；</w:t>
      </w:r>
    </w:p>
    <w:p w14:paraId="25F3CD88">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8、外包业务配置的人员数量应满足生产需求；</w:t>
      </w:r>
    </w:p>
    <w:p w14:paraId="1520A99C">
      <w:pPr>
        <w:numPr>
          <w:ilvl w:val="0"/>
          <w:numId w:val="29"/>
        </w:num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9、在以上要求达不到标准的情况下，造成我方单位的经济损失，愿意接受相应考核。</w:t>
      </w:r>
    </w:p>
    <w:p w14:paraId="211778ED">
      <w:pPr>
        <w:spacing w:line="480" w:lineRule="exact"/>
        <w:outlineLvl w:val="1"/>
        <w:rPr>
          <w:rFonts w:hint="eastAsia" w:ascii="宋体" w:hAnsi="宋体"/>
          <w:sz w:val="32"/>
          <w:szCs w:val="32"/>
        </w:rPr>
      </w:pPr>
      <w:r>
        <w:rPr>
          <w:rFonts w:hint="eastAsia" w:ascii="宋体" w:hAnsi="宋体"/>
          <w:sz w:val="32"/>
          <w:szCs w:val="32"/>
        </w:rPr>
        <w:t xml:space="preserve">                 </w:t>
      </w:r>
      <w:bookmarkStart w:id="24" w:name="_Toc2148"/>
      <w:bookmarkStart w:id="25" w:name="_Toc1340"/>
      <w:r>
        <w:rPr>
          <w:rFonts w:hint="eastAsia" w:ascii="宋体" w:hAnsi="宋体"/>
          <w:sz w:val="32"/>
          <w:szCs w:val="32"/>
        </w:rPr>
        <w:t xml:space="preserve">       招标项目一览表</w:t>
      </w:r>
      <w:bookmarkEnd w:id="24"/>
      <w:bookmarkEnd w:id="25"/>
    </w:p>
    <w:tbl>
      <w:tblPr>
        <w:tblStyle w:val="30"/>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444"/>
        <w:gridCol w:w="1290"/>
        <w:gridCol w:w="1204"/>
        <w:gridCol w:w="1762"/>
        <w:gridCol w:w="1200"/>
        <w:gridCol w:w="1444"/>
      </w:tblGrid>
      <w:tr w14:paraId="01C6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1C86D8DE">
            <w:pPr>
              <w:spacing w:line="360" w:lineRule="exact"/>
              <w:jc w:val="center"/>
              <w:rPr>
                <w:rFonts w:hint="eastAsia" w:ascii="宋体" w:hAnsi="宋体"/>
                <w:b/>
                <w:sz w:val="21"/>
              </w:rPr>
            </w:pPr>
            <w:r>
              <w:rPr>
                <w:rFonts w:hint="eastAsia" w:ascii="宋体" w:hAnsi="宋体"/>
                <w:b/>
                <w:sz w:val="21"/>
              </w:rPr>
              <w:t>序号</w:t>
            </w:r>
          </w:p>
        </w:tc>
        <w:tc>
          <w:tcPr>
            <w:tcW w:w="1444" w:type="dxa"/>
            <w:vAlign w:val="center"/>
          </w:tcPr>
          <w:p w14:paraId="7C3A7C09">
            <w:pPr>
              <w:spacing w:line="360" w:lineRule="exact"/>
              <w:jc w:val="center"/>
              <w:rPr>
                <w:rFonts w:hint="eastAsia" w:ascii="宋体" w:hAnsi="宋体"/>
                <w:b/>
                <w:sz w:val="21"/>
              </w:rPr>
            </w:pPr>
            <w:r>
              <w:rPr>
                <w:rFonts w:hint="eastAsia" w:ascii="宋体" w:hAnsi="宋体"/>
                <w:b/>
                <w:sz w:val="21"/>
              </w:rPr>
              <w:t>名称</w:t>
            </w:r>
          </w:p>
        </w:tc>
        <w:tc>
          <w:tcPr>
            <w:tcW w:w="1290" w:type="dxa"/>
            <w:vAlign w:val="center"/>
          </w:tcPr>
          <w:p w14:paraId="6AB558BB">
            <w:pPr>
              <w:spacing w:line="360" w:lineRule="exact"/>
              <w:jc w:val="center"/>
              <w:rPr>
                <w:rFonts w:hint="eastAsia" w:ascii="宋体" w:hAnsi="宋体"/>
                <w:b/>
                <w:sz w:val="21"/>
              </w:rPr>
            </w:pPr>
            <w:r>
              <w:rPr>
                <w:rFonts w:hint="eastAsia" w:ascii="宋体" w:hAnsi="宋体"/>
                <w:b/>
                <w:sz w:val="21"/>
              </w:rPr>
              <w:t>地点</w:t>
            </w:r>
          </w:p>
        </w:tc>
        <w:tc>
          <w:tcPr>
            <w:tcW w:w="1204" w:type="dxa"/>
            <w:vAlign w:val="center"/>
          </w:tcPr>
          <w:p w14:paraId="4A19FAB0">
            <w:pPr>
              <w:spacing w:line="360" w:lineRule="exact"/>
              <w:jc w:val="center"/>
              <w:rPr>
                <w:rFonts w:hint="eastAsia" w:ascii="宋体" w:hAnsi="宋体"/>
                <w:b/>
                <w:sz w:val="21"/>
              </w:rPr>
            </w:pPr>
            <w:r>
              <w:rPr>
                <w:rFonts w:hint="eastAsia" w:ascii="宋体" w:hAnsi="宋体"/>
                <w:b/>
                <w:sz w:val="21"/>
              </w:rPr>
              <w:t>要求</w:t>
            </w:r>
          </w:p>
        </w:tc>
        <w:tc>
          <w:tcPr>
            <w:tcW w:w="1762" w:type="dxa"/>
            <w:vAlign w:val="center"/>
          </w:tcPr>
          <w:p w14:paraId="61B31C55">
            <w:pPr>
              <w:spacing w:line="360" w:lineRule="exact"/>
              <w:jc w:val="center"/>
              <w:rPr>
                <w:rFonts w:hint="eastAsia" w:ascii="宋体" w:hAnsi="宋体"/>
                <w:b/>
                <w:sz w:val="21"/>
              </w:rPr>
            </w:pPr>
            <w:r>
              <w:rPr>
                <w:rFonts w:hint="eastAsia" w:ascii="宋体" w:hAnsi="宋体"/>
                <w:b/>
                <w:sz w:val="21"/>
              </w:rPr>
              <w:t>项目地点实际情况</w:t>
            </w:r>
          </w:p>
        </w:tc>
        <w:tc>
          <w:tcPr>
            <w:tcW w:w="1200" w:type="dxa"/>
            <w:vAlign w:val="center"/>
          </w:tcPr>
          <w:p w14:paraId="2F52E663">
            <w:pPr>
              <w:spacing w:line="360" w:lineRule="exact"/>
              <w:jc w:val="center"/>
              <w:rPr>
                <w:rFonts w:hint="eastAsia" w:ascii="宋体" w:hAnsi="宋体"/>
                <w:b/>
                <w:sz w:val="21"/>
              </w:rPr>
            </w:pPr>
            <w:r>
              <w:rPr>
                <w:rFonts w:hint="eastAsia" w:ascii="宋体" w:hAnsi="宋体"/>
                <w:b/>
                <w:sz w:val="21"/>
              </w:rPr>
              <w:t>目的或用途</w:t>
            </w:r>
          </w:p>
        </w:tc>
        <w:tc>
          <w:tcPr>
            <w:tcW w:w="1444" w:type="dxa"/>
            <w:vAlign w:val="center"/>
          </w:tcPr>
          <w:p w14:paraId="1A5D20F6">
            <w:pPr>
              <w:spacing w:line="360" w:lineRule="exact"/>
              <w:jc w:val="center"/>
              <w:rPr>
                <w:rFonts w:hint="eastAsia" w:ascii="宋体" w:hAnsi="宋体"/>
                <w:b/>
                <w:sz w:val="21"/>
              </w:rPr>
            </w:pPr>
            <w:r>
              <w:rPr>
                <w:rFonts w:hint="eastAsia" w:ascii="宋体" w:hAnsi="宋体"/>
                <w:b/>
                <w:sz w:val="21"/>
              </w:rPr>
              <w:t>备注</w:t>
            </w:r>
          </w:p>
        </w:tc>
      </w:tr>
      <w:tr w14:paraId="2FC5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 w:type="dxa"/>
            <w:vAlign w:val="center"/>
          </w:tcPr>
          <w:p w14:paraId="2A77E9B6">
            <w:pPr>
              <w:spacing w:line="360" w:lineRule="exact"/>
              <w:jc w:val="center"/>
              <w:rPr>
                <w:rFonts w:hint="eastAsia" w:ascii="宋体" w:hAnsi="宋体"/>
                <w:sz w:val="20"/>
              </w:rPr>
            </w:pPr>
            <w:r>
              <w:rPr>
                <w:rFonts w:hint="eastAsia" w:ascii="宋体" w:hAnsi="宋体"/>
                <w:sz w:val="20"/>
              </w:rPr>
              <w:t>1</w:t>
            </w:r>
          </w:p>
        </w:tc>
        <w:tc>
          <w:tcPr>
            <w:tcW w:w="1444" w:type="dxa"/>
            <w:vAlign w:val="center"/>
          </w:tcPr>
          <w:p w14:paraId="554DC28F">
            <w:pPr>
              <w:spacing w:line="360" w:lineRule="exact"/>
              <w:jc w:val="center"/>
              <w:rPr>
                <w:rFonts w:hint="eastAsia" w:ascii="宋体" w:hAnsi="宋体"/>
                <w:sz w:val="20"/>
              </w:rPr>
            </w:pPr>
            <w:r>
              <w:rPr>
                <w:rFonts w:hint="eastAsia" w:ascii="宋体" w:hAnsi="宋体"/>
                <w:sz w:val="20"/>
              </w:rPr>
              <w:t>绵阳分公司底盘分装项目</w:t>
            </w:r>
          </w:p>
        </w:tc>
        <w:tc>
          <w:tcPr>
            <w:tcW w:w="1290" w:type="dxa"/>
            <w:vAlign w:val="center"/>
          </w:tcPr>
          <w:p w14:paraId="232DD7D2">
            <w:pPr>
              <w:spacing w:line="360" w:lineRule="exact"/>
              <w:jc w:val="center"/>
              <w:rPr>
                <w:rFonts w:hint="eastAsia" w:ascii="宋体" w:hAnsi="宋体"/>
                <w:sz w:val="20"/>
              </w:rPr>
            </w:pPr>
            <w:r>
              <w:rPr>
                <w:rFonts w:hint="eastAsia" w:ascii="宋体" w:hAnsi="宋体"/>
                <w:sz w:val="20"/>
              </w:rPr>
              <w:t>绵阳分公司</w:t>
            </w:r>
          </w:p>
        </w:tc>
        <w:tc>
          <w:tcPr>
            <w:tcW w:w="1204" w:type="dxa"/>
            <w:vAlign w:val="center"/>
          </w:tcPr>
          <w:p w14:paraId="30BD4E09">
            <w:pPr>
              <w:spacing w:line="360" w:lineRule="exact"/>
              <w:jc w:val="center"/>
              <w:rPr>
                <w:rFonts w:hint="eastAsia" w:ascii="宋体" w:hAnsi="宋体"/>
                <w:sz w:val="20"/>
              </w:rPr>
            </w:pPr>
            <w:r>
              <w:rPr>
                <w:rFonts w:hint="eastAsia" w:ascii="宋体" w:hAnsi="宋体"/>
                <w:sz w:val="20"/>
              </w:rPr>
              <w:t>响应发包方各项规章制度</w:t>
            </w:r>
          </w:p>
        </w:tc>
        <w:tc>
          <w:tcPr>
            <w:tcW w:w="1762" w:type="dxa"/>
            <w:vAlign w:val="center"/>
          </w:tcPr>
          <w:p w14:paraId="69677254">
            <w:pPr>
              <w:spacing w:line="360" w:lineRule="exact"/>
              <w:jc w:val="center"/>
              <w:rPr>
                <w:rFonts w:hint="eastAsia" w:ascii="宋体" w:hAnsi="宋体"/>
                <w:sz w:val="20"/>
              </w:rPr>
            </w:pPr>
            <w:r>
              <w:rPr>
                <w:rFonts w:hint="eastAsia" w:ascii="宋体" w:hAnsi="宋体"/>
                <w:sz w:val="20"/>
              </w:rPr>
              <w:t>总装现场分部</w:t>
            </w:r>
          </w:p>
        </w:tc>
        <w:tc>
          <w:tcPr>
            <w:tcW w:w="1200" w:type="dxa"/>
            <w:vAlign w:val="center"/>
          </w:tcPr>
          <w:p w14:paraId="4099F029">
            <w:pPr>
              <w:spacing w:line="360" w:lineRule="exact"/>
              <w:jc w:val="center"/>
              <w:rPr>
                <w:rFonts w:hint="eastAsia" w:ascii="宋体" w:hAnsi="宋体"/>
                <w:sz w:val="20"/>
              </w:rPr>
            </w:pPr>
            <w:r>
              <w:rPr>
                <w:rFonts w:hint="eastAsia" w:ascii="宋体" w:hAnsi="宋体"/>
              </w:rPr>
              <w:t>绵阳分公司底盘分装外包</w:t>
            </w:r>
          </w:p>
        </w:tc>
        <w:tc>
          <w:tcPr>
            <w:tcW w:w="1444" w:type="dxa"/>
            <w:vAlign w:val="center"/>
          </w:tcPr>
          <w:p w14:paraId="6C9F2118">
            <w:pPr>
              <w:spacing w:line="360" w:lineRule="exact"/>
              <w:jc w:val="center"/>
              <w:rPr>
                <w:rFonts w:hint="eastAsia" w:ascii="宋体" w:hAnsi="宋体"/>
                <w:sz w:val="20"/>
              </w:rPr>
            </w:pPr>
            <w:r>
              <w:rPr>
                <w:rFonts w:hint="eastAsia" w:ascii="宋体" w:hAnsi="宋体"/>
                <w:sz w:val="20"/>
              </w:rPr>
              <w:t>202</w:t>
            </w:r>
            <w:r>
              <w:rPr>
                <w:rFonts w:ascii="宋体" w:hAnsi="宋体"/>
                <w:sz w:val="20"/>
              </w:rPr>
              <w:t>6</w:t>
            </w:r>
            <w:r>
              <w:rPr>
                <w:rFonts w:hint="eastAsia" w:ascii="宋体" w:hAnsi="宋体"/>
                <w:sz w:val="20"/>
              </w:rPr>
              <w:t>.1.1-202</w:t>
            </w:r>
            <w:r>
              <w:rPr>
                <w:rFonts w:ascii="宋体" w:hAnsi="宋体"/>
                <w:sz w:val="20"/>
              </w:rPr>
              <w:t>6</w:t>
            </w:r>
            <w:r>
              <w:rPr>
                <w:rFonts w:hint="eastAsia" w:ascii="宋体" w:hAnsi="宋体"/>
                <w:sz w:val="20"/>
              </w:rPr>
              <w:t>.12.31</w:t>
            </w:r>
          </w:p>
        </w:tc>
      </w:tr>
    </w:tbl>
    <w:p w14:paraId="21A3C1EF">
      <w:pPr>
        <w:rPr>
          <w:rFonts w:hint="eastAsia"/>
        </w:rPr>
      </w:pPr>
    </w:p>
    <w:p w14:paraId="7A0E2F53">
      <w:r>
        <w:br w:type="page"/>
      </w:r>
    </w:p>
    <w:p w14:paraId="5871DF53">
      <w:pPr>
        <w:pStyle w:val="71"/>
      </w:pPr>
      <w:bookmarkStart w:id="26" w:name="_Toc20595"/>
      <w:bookmarkStart w:id="27" w:name="_Toc47976609"/>
      <w:r>
        <w:rPr>
          <w:rFonts w:hint="eastAsia"/>
        </w:rPr>
        <w:t>第三部分　合同主要条款</w:t>
      </w:r>
      <w:bookmarkEnd w:id="26"/>
      <w:bookmarkEnd w:id="27"/>
    </w:p>
    <w:p w14:paraId="23914DBE">
      <w:pPr>
        <w:pStyle w:val="72"/>
        <w:numPr>
          <w:ilvl w:val="0"/>
          <w:numId w:val="30"/>
        </w:numPr>
        <w:ind w:left="420"/>
      </w:pPr>
      <w:bookmarkStart w:id="28" w:name="_Toc47976610"/>
      <w:r>
        <w:rPr>
          <w:rFonts w:hint="eastAsia"/>
          <w:lang w:val="en-US" w:eastAsia="zh-CN"/>
        </w:rPr>
        <w:t>标的、数量、</w:t>
      </w:r>
      <w:r>
        <w:rPr>
          <w:rFonts w:hint="eastAsia"/>
        </w:rPr>
        <w:t>交货期</w:t>
      </w:r>
      <w:bookmarkEnd w:id="28"/>
    </w:p>
    <w:p w14:paraId="18603CA8">
      <w:pPr>
        <w:pStyle w:val="72"/>
      </w:pPr>
      <w:bookmarkStart w:id="29" w:name="_Toc47976611"/>
      <w:r>
        <w:rPr>
          <w:rFonts w:hint="eastAsia"/>
        </w:rPr>
        <w:t>交货地点</w:t>
      </w:r>
      <w:bookmarkEnd w:id="29"/>
    </w:p>
    <w:p w14:paraId="3F03A936">
      <w:pPr>
        <w:pStyle w:val="72"/>
      </w:pPr>
      <w:bookmarkStart w:id="30" w:name="_Toc47976612"/>
      <w:r>
        <w:rPr>
          <w:rFonts w:hint="eastAsia"/>
          <w:lang w:val="en-US" w:eastAsia="zh-CN"/>
        </w:rPr>
        <w:t>价款及</w:t>
      </w:r>
      <w:r>
        <w:rPr>
          <w:rFonts w:hint="eastAsia"/>
        </w:rPr>
        <w:t>付款方式</w:t>
      </w:r>
      <w:bookmarkEnd w:id="30"/>
    </w:p>
    <w:p w14:paraId="0A7F4E98">
      <w:pPr>
        <w:pStyle w:val="72"/>
      </w:pPr>
      <w:bookmarkStart w:id="31" w:name="_Toc47976613"/>
      <w:r>
        <w:rPr>
          <w:rFonts w:hint="eastAsia"/>
          <w:lang w:val="en-US" w:eastAsia="zh-CN"/>
        </w:rPr>
        <w:t>质量要求、</w:t>
      </w:r>
      <w:r>
        <w:rPr>
          <w:rFonts w:hint="eastAsia"/>
        </w:rPr>
        <w:t>保修期及售后服务</w:t>
      </w:r>
      <w:bookmarkEnd w:id="31"/>
    </w:p>
    <w:p w14:paraId="50F6C5C1">
      <w:pPr>
        <w:pStyle w:val="72"/>
      </w:pPr>
      <w:bookmarkStart w:id="32" w:name="_Toc47976614"/>
      <w:r>
        <w:rPr>
          <w:rFonts w:hint="eastAsia"/>
        </w:rPr>
        <w:t>安装、调试及验收要求</w:t>
      </w:r>
      <w:bookmarkEnd w:id="32"/>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3" w:name="_Toc47976615"/>
      <w:bookmarkStart w:id="34" w:name="_Toc5925"/>
      <w:r>
        <w:rPr>
          <w:rFonts w:hint="eastAsia"/>
        </w:rPr>
        <w:t>第四部分　</w:t>
      </w:r>
      <w:bookmarkEnd w:id="33"/>
      <w:r>
        <w:rPr>
          <w:rFonts w:hint="eastAsia"/>
          <w:lang w:val="en-US" w:eastAsia="zh-CN"/>
        </w:rPr>
        <w:t>投标文件附件</w:t>
      </w:r>
      <w:bookmarkEnd w:id="34"/>
    </w:p>
    <w:p w14:paraId="600DE1DD">
      <w:pPr>
        <w:pStyle w:val="71"/>
        <w:jc w:val="left"/>
        <w:rPr>
          <w:rFonts w:hint="eastAsia" w:ascii="宋体" w:hAnsi="宋体" w:eastAsia="宋体" w:cs="宋体"/>
          <w:sz w:val="32"/>
          <w:szCs w:val="32"/>
          <w:highlight w:val="yellow"/>
          <w:lang w:eastAsia="zh-CN"/>
        </w:rPr>
      </w:pPr>
      <w:bookmarkStart w:id="35" w:name="_Toc4225"/>
      <w:bookmarkStart w:id="36" w:name="_Toc47976616"/>
      <w:r>
        <w:rPr>
          <w:rFonts w:hint="eastAsia" w:ascii="宋体" w:hAnsi="宋体" w:eastAsia="宋体" w:cs="宋体"/>
          <w:sz w:val="32"/>
          <w:szCs w:val="32"/>
          <w:highlight w:val="yellow"/>
        </w:rPr>
        <w:t>附件</w:t>
      </w:r>
      <w:bookmarkEnd w:id="35"/>
      <w:bookmarkEnd w:id="36"/>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7" w:name="_Toc47976618"/>
      <w:bookmarkStart w:id="38" w:name="_Toc29366869"/>
      <w:bookmarkStart w:id="39" w:name="_Toc29366865"/>
      <w:r>
        <w:rPr>
          <w:rFonts w:hint="eastAsia" w:ascii="宋体" w:hAnsi="宋体" w:eastAsia="宋体" w:cs="宋体"/>
          <w:sz w:val="32"/>
          <w:szCs w:val="32"/>
          <w:highlight w:val="yellow"/>
          <w:lang w:val="en-US" w:eastAsia="zh-CN"/>
        </w:rPr>
        <w:t>附件2</w:t>
      </w:r>
    </w:p>
    <w:bookmarkEnd w:id="37"/>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2"/>
      </w:pPr>
    </w:p>
    <w:p w14:paraId="3A5DEF51">
      <w:pPr>
        <w:spacing w:line="360" w:lineRule="auto"/>
        <w:rPr>
          <w:rFonts w:ascii="宋体" w:hAnsi="宋体" w:cs="宋体"/>
          <w:sz w:val="24"/>
          <w:szCs w:val="21"/>
        </w:rPr>
      </w:pPr>
    </w:p>
    <w:bookmarkEnd w:id="38"/>
    <w:bookmarkEnd w:id="39"/>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2"/>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2"/>
        <w:rPr>
          <w:rFonts w:hint="eastAsia" w:hAnsi="宋体" w:eastAsia="宋体" w:cs="Times New Roman"/>
          <w:b/>
          <w:bCs/>
          <w:szCs w:val="21"/>
          <w:highlight w:val="yellow"/>
        </w:rPr>
      </w:pPr>
    </w:p>
    <w:p w14:paraId="122437DB">
      <w:pPr>
        <w:pStyle w:val="2"/>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BFF518E"/>
    <w:multiLevelType w:val="singleLevel"/>
    <w:tmpl w:val="FBFF518E"/>
    <w:lvl w:ilvl="0" w:tentative="0">
      <w:start w:val="1"/>
      <w:numFmt w:val="bullet"/>
      <w:lvlText w:val=""/>
      <w:lvlJc w:val="left"/>
      <w:pPr>
        <w:ind w:left="420" w:hanging="420"/>
      </w:pPr>
      <w:rPr>
        <w:rFonts w:hint="default" w:ascii="Wingdings" w:hAnsi="Wingdings"/>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4"/>
  </w:num>
  <w:num w:numId="6">
    <w:abstractNumId w:val="16"/>
  </w:num>
  <w:num w:numId="7">
    <w:abstractNumId w:val="17"/>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4"/>
  </w:num>
  <w:num w:numId="18">
    <w:abstractNumId w:val="26"/>
  </w:num>
  <w:num w:numId="19">
    <w:abstractNumId w:val="9"/>
  </w:num>
  <w:num w:numId="20">
    <w:abstractNumId w:val="8"/>
  </w:num>
  <w:num w:numId="21">
    <w:abstractNumId w:val="4"/>
  </w:num>
  <w:num w:numId="22">
    <w:abstractNumId w:val="1"/>
  </w:num>
  <w:num w:numId="23">
    <w:abstractNumId w:val="6"/>
  </w:num>
  <w:num w:numId="24">
    <w:abstractNumId w:val="12"/>
  </w:num>
  <w:num w:numId="25">
    <w:abstractNumId w:val="10"/>
  </w:num>
  <w:num w:numId="26">
    <w:abstractNumId w:val="19"/>
  </w:num>
  <w:num w:numId="27">
    <w:abstractNumId w:val="13"/>
  </w:num>
  <w:num w:numId="28">
    <w:abstractNumId w:val="18"/>
  </w:num>
  <w:num w:numId="29">
    <w:abstractNumId w:val="11"/>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A0D7D71"/>
    <w:rsid w:val="0CB51572"/>
    <w:rsid w:val="0CF51133"/>
    <w:rsid w:val="0E4D31E3"/>
    <w:rsid w:val="10DC2AA3"/>
    <w:rsid w:val="10FA7C8C"/>
    <w:rsid w:val="130B198F"/>
    <w:rsid w:val="16A918E4"/>
    <w:rsid w:val="17631A11"/>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2274B10"/>
    <w:rsid w:val="52B9239A"/>
    <w:rsid w:val="52E465EE"/>
    <w:rsid w:val="54BD78FD"/>
    <w:rsid w:val="58A86DDE"/>
    <w:rsid w:val="59154AD7"/>
    <w:rsid w:val="5ADF548D"/>
    <w:rsid w:val="5D5C60B4"/>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 w:val="7E6C5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8748</Words>
  <Characters>9216</Characters>
  <Lines>127</Lines>
  <Paragraphs>35</Paragraphs>
  <TotalTime>0</TotalTime>
  <ScaleCrop>false</ScaleCrop>
  <LinksUpToDate>false</LinksUpToDate>
  <CharactersWithSpaces>9278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2025-11-25T09:03:44Z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