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rFonts w:hint="eastAsia" w:eastAsia="楷体_GB2312"/>
          <w:sz w:val="28"/>
          <w:szCs w:val="28"/>
          <w:lang w:eastAsia="zh-CN"/>
        </w:rPr>
      </w:pPr>
      <w:r>
        <w:rPr>
          <w:rFonts w:hint="eastAsia" w:ascii="楷体_GB2312" w:hAnsi="宋体" w:eastAsia="楷体_GB2312"/>
          <w:sz w:val="52"/>
          <w:szCs w:val="52"/>
          <w:highlight w:val="yellow"/>
          <w:lang w:eastAsia="zh-CN"/>
        </w:rPr>
        <w:t>2026年绵阳分公司预装线分装项目</w:t>
      </w: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hint="eastAsia" w:ascii="宋体" w:hAnsi="宋体" w:eastAsia="宋体" w:cs="宋体"/>
          <w:b/>
          <w:bCs/>
          <w:kern w:val="0"/>
          <w:sz w:val="32"/>
          <w:szCs w:val="32"/>
          <w:u w:val="single"/>
          <w:lang w:eastAsia="zh-CN"/>
        </w:rPr>
      </w:pPr>
      <w:r>
        <w:rPr>
          <w:rFonts w:hint="eastAsia" w:ascii="宋体" w:hAnsi="宋体" w:cs="宋体"/>
          <w:b/>
          <w:bCs/>
          <w:kern w:val="0"/>
          <w:sz w:val="32"/>
          <w:szCs w:val="32"/>
        </w:rPr>
        <w:t>项目编号：</w:t>
      </w:r>
      <w:r>
        <w:rPr>
          <w:rFonts w:hint="eastAsia" w:ascii="宋体" w:hAnsi="宋体" w:cs="宋体"/>
          <w:b/>
          <w:bCs/>
          <w:kern w:val="0"/>
          <w:sz w:val="32"/>
          <w:szCs w:val="32"/>
          <w:highlight w:val="yellow"/>
          <w:lang w:eastAsia="zh-CN"/>
        </w:rPr>
        <w:t>FSCZB2025110146</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人：中国重汽集团济南卡车股份有限公司制造公司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2"/>
        <w:tabs>
          <w:tab w:val="left" w:pos="2940"/>
        </w:tabs>
        <w:spacing w:line="360" w:lineRule="auto"/>
      </w:pPr>
      <w:r>
        <w:tab/>
      </w:r>
    </w:p>
    <w:p w14:paraId="29FEE1FC">
      <w:pPr>
        <w:pStyle w:val="2"/>
        <w:spacing w:line="360" w:lineRule="auto"/>
        <w:jc w:val="center"/>
      </w:pPr>
    </w:p>
    <w:p w14:paraId="1A6E7B1A">
      <w:pPr>
        <w:pStyle w:val="2"/>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5953C7BF">
      <w:pPr>
        <w:pStyle w:val="71"/>
        <w:rPr>
          <w:rFonts w:hint="eastAsia"/>
          <w:sz w:val="28"/>
        </w:rPr>
      </w:pPr>
      <w:bookmarkStart w:id="2" w:name="_Toc32474"/>
      <w:r>
        <w:rPr>
          <w:rFonts w:hint="eastAsia"/>
          <w:sz w:val="28"/>
          <w:lang w:eastAsia="zh-CN"/>
        </w:rPr>
        <w:t>2026年绵阳分公司预装线分装项目</w:t>
      </w:r>
      <w:r>
        <w:rPr>
          <w:rFonts w:hint="eastAsia"/>
          <w:sz w:val="28"/>
        </w:rPr>
        <w:t>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 xml:space="preserve"> </w:t>
      </w:r>
      <w:r>
        <w:rPr>
          <w:rFonts w:hint="eastAsia"/>
          <w:highlight w:val="yellow"/>
          <w:lang w:eastAsia="zh-CN"/>
        </w:rPr>
        <w:t>2026年绵阳分公司预装线分装项目</w:t>
      </w:r>
    </w:p>
    <w:p w14:paraId="15020D03">
      <w:pPr>
        <w:pStyle w:val="73"/>
      </w:pPr>
      <w:r>
        <w:rPr>
          <w:rFonts w:hint="eastAsia"/>
        </w:rPr>
        <w:t>项目编号：</w:t>
      </w:r>
      <w:r>
        <w:rPr>
          <w:rFonts w:hint="eastAsia"/>
          <w:highlight w:val="yellow"/>
        </w:rPr>
        <w:t xml:space="preserve"> </w:t>
      </w:r>
      <w:r>
        <w:rPr>
          <w:rFonts w:hint="eastAsia"/>
          <w:highlight w:val="yellow"/>
          <w:lang w:eastAsia="zh-CN"/>
        </w:rPr>
        <w:t>FSCZB2025110146</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yellow"/>
          <w:lang w:eastAsia="zh-CN"/>
        </w:rPr>
        <w:t>2026年绵阳分公司预装线分装项目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4509C0DA">
      <w:pPr>
        <w:pStyle w:val="72"/>
        <w:rPr>
          <w:highlight w:val="yellow"/>
        </w:rPr>
      </w:pPr>
      <w:bookmarkStart w:id="5" w:name="_Toc47976592"/>
      <w:r>
        <w:rPr>
          <w:rFonts w:hint="eastAsia"/>
          <w:highlight w:val="yellow"/>
        </w:rPr>
        <w:t>投标文件的递交</w:t>
      </w:r>
      <w:bookmarkEnd w:id="5"/>
    </w:p>
    <w:p w14:paraId="0E06EF19">
      <w:pPr>
        <w:pStyle w:val="2"/>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bookmarkStart w:id="38" w:name="_GoBack"/>
      <w:bookmarkEnd w:id="38"/>
      <w:r>
        <w:rPr>
          <w:rFonts w:hint="eastAsia" w:hAnsi="宋体" w:cs="宋体"/>
          <w:b/>
          <w:bCs/>
          <w:szCs w:val="21"/>
          <w:lang w:val="en-US" w:eastAsia="zh-CN"/>
        </w:rPr>
        <w:t>1</w:t>
      </w:r>
      <w:r>
        <w:rPr>
          <w:rFonts w:hint="eastAsia" w:hAnsi="宋体" w:cs="宋体"/>
          <w:b/>
          <w:bCs/>
          <w:szCs w:val="21"/>
        </w:rPr>
        <w:t>日下午17点</w:t>
      </w:r>
    </w:p>
    <w:p w14:paraId="6BBCD822">
      <w:pPr>
        <w:pStyle w:val="2"/>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654E7574">
      <w:pPr>
        <w:pStyle w:val="72"/>
        <w:rPr>
          <w:highlight w:val="yellow"/>
        </w:rPr>
      </w:pPr>
      <w:r>
        <w:rPr>
          <w:rFonts w:hint="eastAsia"/>
          <w:highlight w:val="yellow"/>
        </w:rPr>
        <w:t>投标文件的递交</w:t>
      </w:r>
    </w:p>
    <w:p w14:paraId="3AE4448B">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yellow"/>
        </w:rPr>
      </w:pPr>
      <w:r>
        <w:rPr>
          <w:rFonts w:hint="eastAsia"/>
          <w:highlight w:val="yellow"/>
          <w:lang w:val="en-US" w:eastAsia="zh-CN"/>
        </w:rPr>
        <w:t>开标时间和地点</w:t>
      </w:r>
    </w:p>
    <w:p w14:paraId="08ED514D">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17</w:t>
      </w:r>
      <w:r>
        <w:rPr>
          <w:rFonts w:hint="eastAsia" w:ascii="宋体" w:hAnsi="宋体" w:eastAsia="宋体" w:cs="宋体"/>
          <w:sz w:val="21"/>
          <w:szCs w:val="21"/>
          <w:highlight w:val="yellow"/>
        </w:rPr>
        <w:t>日9:00:00</w:t>
      </w:r>
    </w:p>
    <w:p w14:paraId="15ABDA21">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2"/>
      </w:pPr>
      <w:r>
        <w:rPr>
          <w:rFonts w:hint="eastAsia"/>
        </w:rPr>
        <w:t>招标公告发布媒介</w:t>
      </w:r>
    </w:p>
    <w:p w14:paraId="1E6442DC">
      <w:pPr>
        <w:pStyle w:val="73"/>
        <w:numPr>
          <w:ilvl w:val="0"/>
          <w:numId w:val="0"/>
        </w:numPr>
        <w:ind w:left="1130" w:hanging="420"/>
        <w:rPr>
          <w:rFonts w:hint="eastAsia"/>
          <w:highlight w:val="none"/>
        </w:rPr>
      </w:pPr>
      <w:r>
        <w:rPr>
          <w:rFonts w:hint="eastAsia"/>
          <w:highlight w:val="none"/>
        </w:rPr>
        <w:t>本次招标公告在</w:t>
      </w:r>
      <w:r>
        <w:rPr>
          <w:rFonts w:hint="eastAsia"/>
          <w:highlight w:val="yellow"/>
        </w:rPr>
        <w:t>中国重型汽车集团有限公司官网</w:t>
      </w:r>
      <w:r>
        <w:rPr>
          <w:rFonts w:hint="eastAsia"/>
          <w:highlight w:val="yellow"/>
          <w:lang w:eastAsia="zh-CN"/>
        </w:rPr>
        <w:t>。</w:t>
      </w:r>
      <w:r>
        <w:rPr>
          <w:rFonts w:hint="eastAsia"/>
          <w:highlight w:val="yellow"/>
          <w:lang w:val="en-US" w:eastAsia="zh-CN"/>
        </w:rPr>
        <w:t>山东省阳光采购服务平台</w:t>
      </w:r>
      <w:r>
        <w:rPr>
          <w:rFonts w:hint="eastAsia"/>
          <w:highlight w:val="none"/>
        </w:rPr>
        <w:t>上发布。</w:t>
      </w:r>
    </w:p>
    <w:p w14:paraId="7D20EAC6">
      <w:pPr>
        <w:pStyle w:val="72"/>
        <w:rPr>
          <w:highlight w:val="yellow"/>
        </w:rPr>
      </w:pPr>
      <w:r>
        <w:rPr>
          <w:rFonts w:hint="eastAsia"/>
          <w:highlight w:val="yellow"/>
        </w:rPr>
        <w:t>联系方式</w:t>
      </w:r>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中国重汽集团济南卡车股份有限公司制造公司</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lang w:val="en-US" w:eastAsia="zh-CN"/>
        </w:rPr>
        <w:t>杨淑清</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电话：13210630938</w:t>
      </w:r>
    </w:p>
    <w:p w14:paraId="10E0A455">
      <w:pPr>
        <w:pStyle w:val="72"/>
        <w:numPr>
          <w:ilvl w:val="0"/>
          <w:numId w:val="0"/>
        </w:numPr>
        <w:ind w:leftChars="0" w:firstLine="422" w:firstLineChars="200"/>
        <w:rPr>
          <w:rFonts w:hint="eastAsia" w:eastAsia="宋体"/>
          <w:lang w:eastAsia="zh-CN"/>
        </w:rPr>
      </w:pPr>
      <w:r>
        <w:rPr>
          <w:rFonts w:hint="eastAsia" w:ascii="宋体" w:hAnsi="宋体" w:eastAsia="宋体" w:cs="宋体"/>
          <w:b/>
          <w:bCs/>
          <w:sz w:val="21"/>
          <w:szCs w:val="21"/>
        </w:rPr>
        <w:t>邮箱：yangshuqing1@sinotruk.com</w:t>
      </w:r>
    </w:p>
    <w:p w14:paraId="67266EE8">
      <w:pPr>
        <w:pStyle w:val="72"/>
        <w:numPr>
          <w:ilvl w:val="0"/>
          <w:numId w:val="0"/>
        </w:numPr>
        <w:ind w:leftChars="0"/>
        <w:rPr>
          <w:highlight w:val="yellow"/>
        </w:rPr>
      </w:pP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11</w:t>
      </w:r>
      <w:r>
        <w:rPr>
          <w:rFonts w:hint="eastAsia"/>
        </w:rPr>
        <w:t>月</w:t>
      </w:r>
      <w:r>
        <w:rPr>
          <w:rFonts w:hint="eastAsia"/>
          <w:lang w:val="en-US" w:eastAsia="zh-CN"/>
        </w:rPr>
        <w:t>14</w:t>
      </w:r>
      <w:r>
        <w:rPr>
          <w:rFonts w:hint="eastAsia"/>
        </w:rPr>
        <w:t>日</w:t>
      </w:r>
    </w:p>
    <w:p w14:paraId="04C96706">
      <w:pPr>
        <w:pStyle w:val="76"/>
      </w:pPr>
    </w:p>
    <w:p w14:paraId="3D820EEC">
      <w:pPr>
        <w:pStyle w:val="71"/>
      </w:pPr>
      <w:bookmarkStart w:id="6" w:name="_Toc47976595"/>
      <w:bookmarkStart w:id="7" w:name="_Toc7753"/>
      <w:r>
        <w:rPr>
          <w:rFonts w:hint="eastAsia"/>
        </w:rPr>
        <w:t>第一部分  投标人须知</w:t>
      </w:r>
      <w:bookmarkEnd w:id="6"/>
      <w:bookmarkEnd w:id="7"/>
    </w:p>
    <w:p w14:paraId="418340FC">
      <w:pPr>
        <w:pStyle w:val="72"/>
        <w:numPr>
          <w:ilvl w:val="0"/>
          <w:numId w:val="12"/>
        </w:numPr>
        <w:ind w:left="420"/>
        <w:jc w:val="left"/>
      </w:pPr>
      <w:bookmarkStart w:id="8" w:name="_Toc47976596"/>
      <w:r>
        <w:rPr>
          <w:rFonts w:hint="eastAsia"/>
        </w:rPr>
        <w:t>项目介绍</w:t>
      </w:r>
      <w:bookmarkEnd w:id="8"/>
    </w:p>
    <w:p w14:paraId="6360E7CD">
      <w:pPr>
        <w:pStyle w:val="76"/>
        <w:numPr>
          <w:ilvl w:val="0"/>
          <w:numId w:val="13"/>
        </w:numPr>
        <w:ind w:left="425" w:leftChars="0" w:hanging="425" w:firstLineChars="0"/>
      </w:pPr>
      <w:r>
        <w:rPr>
          <w:rFonts w:hint="eastAsia"/>
        </w:rPr>
        <w:t>项目名称：</w:t>
      </w:r>
      <w:r>
        <w:rPr>
          <w:rFonts w:hint="eastAsia"/>
          <w:highlight w:val="yellow"/>
          <w:lang w:eastAsia="zh-CN"/>
        </w:rPr>
        <w:t>2026年绵阳分公司预装线分装项目</w:t>
      </w:r>
    </w:p>
    <w:p w14:paraId="17A97EAA">
      <w:pPr>
        <w:pStyle w:val="76"/>
        <w:numPr>
          <w:ilvl w:val="0"/>
          <w:numId w:val="13"/>
        </w:numPr>
        <w:ind w:left="425" w:leftChars="0" w:hanging="425" w:firstLineChars="0"/>
      </w:pPr>
      <w:r>
        <w:rPr>
          <w:rFonts w:hint="eastAsia"/>
        </w:rPr>
        <w:t>项目编号：</w:t>
      </w:r>
      <w:r>
        <w:rPr>
          <w:rFonts w:hint="eastAsia"/>
          <w:highlight w:val="yellow"/>
          <w:lang w:eastAsia="zh-CN"/>
        </w:rPr>
        <w:t>FSCZB2025110146</w:t>
      </w:r>
    </w:p>
    <w:p w14:paraId="5C6CF568">
      <w:pPr>
        <w:pStyle w:val="76"/>
        <w:numPr>
          <w:ilvl w:val="0"/>
          <w:numId w:val="13"/>
        </w:numPr>
        <w:ind w:left="425" w:leftChars="0" w:hanging="425" w:firstLineChars="0"/>
      </w:pPr>
      <w:r>
        <w:rPr>
          <w:rFonts w:hint="eastAsia"/>
        </w:rPr>
        <w:t>招标形式：</w:t>
      </w:r>
      <w:bookmarkStart w:id="9" w:name="_Toc47112482"/>
      <w:r>
        <w:rPr>
          <w:rFonts w:hint="eastAsia"/>
          <w:highlight w:val="yellow"/>
        </w:rPr>
        <w:t>公开招标</w:t>
      </w:r>
    </w:p>
    <w:p w14:paraId="742B3A80">
      <w:pPr>
        <w:pStyle w:val="76"/>
        <w:numPr>
          <w:ilvl w:val="0"/>
          <w:numId w:val="13"/>
        </w:numPr>
        <w:ind w:left="425" w:leftChars="0" w:hanging="425" w:firstLineChars="0"/>
      </w:pPr>
      <w:r>
        <w:rPr>
          <w:rFonts w:hint="eastAsia"/>
          <w:lang w:val="en-US" w:eastAsia="zh-CN"/>
        </w:rPr>
        <w:t>项目概况：</w:t>
      </w:r>
      <w:r>
        <w:rPr>
          <w:rFonts w:hint="eastAsia"/>
          <w:highlight w:val="yellow"/>
        </w:rPr>
        <w:t>对绵阳分公司厂区预装线相关产品件提供相应的分装服务;</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p w14:paraId="2A2F2260">
      <w:pPr>
        <w:pStyle w:val="76"/>
        <w:numPr>
          <w:ilvl w:val="0"/>
          <w:numId w:val="13"/>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25154A3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中国重汽集团济南卡车股份有限公司制造公司</w:t>
      </w:r>
    </w:p>
    <w:p w14:paraId="7296E1EC">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69A857DF">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88264A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1812B26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lang w:val="en-US" w:eastAsia="zh-CN"/>
        </w:rPr>
        <w:t>杨淑清</w:t>
      </w:r>
    </w:p>
    <w:p w14:paraId="097A1D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电话：13210630938</w:t>
      </w:r>
    </w:p>
    <w:p w14:paraId="11E403FB">
      <w:pPr>
        <w:pStyle w:val="72"/>
        <w:numPr>
          <w:ilvl w:val="0"/>
          <w:numId w:val="0"/>
        </w:numPr>
        <w:ind w:leftChars="0" w:firstLine="422" w:firstLineChars="200"/>
        <w:rPr>
          <w:rFonts w:hint="eastAsia" w:eastAsia="宋体"/>
          <w:lang w:eastAsia="zh-CN"/>
        </w:rPr>
      </w:pPr>
      <w:r>
        <w:rPr>
          <w:rFonts w:hint="eastAsia" w:ascii="宋体" w:hAnsi="宋体" w:eastAsia="宋体" w:cs="宋体"/>
          <w:b/>
          <w:bCs/>
          <w:sz w:val="21"/>
          <w:szCs w:val="21"/>
        </w:rPr>
        <w:t>邮箱：yangshuqing1@sinotruk.com</w:t>
      </w:r>
    </w:p>
    <w:p w14:paraId="51230550">
      <w:pPr>
        <w:pStyle w:val="76"/>
        <w:numPr>
          <w:ilvl w:val="0"/>
          <w:numId w:val="0"/>
        </w:numPr>
        <w:ind w:leftChars="0"/>
        <w:rPr>
          <w:rFonts w:hint="eastAsia" w:cs="Times New Roman"/>
          <w:highlight w:val="none"/>
          <w:lang w:val="en-US" w:eastAsia="zh-CN"/>
        </w:rPr>
      </w:pPr>
    </w:p>
    <w:bookmarkEnd w:id="9"/>
    <w:p w14:paraId="50DC6C75">
      <w:pPr>
        <w:pStyle w:val="72"/>
      </w:pPr>
      <w:bookmarkStart w:id="10" w:name="_Toc47976598"/>
      <w:r>
        <w:rPr>
          <w:rFonts w:hint="eastAsia"/>
        </w:rPr>
        <w:t>合格的投标人。</w:t>
      </w:r>
      <w:bookmarkEnd w:id="10"/>
    </w:p>
    <w:p w14:paraId="1868D0D9">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（1）投标人须遵守《中华人民共和国招标投标法》《中华人民共和国民法典》及其他有关的法律和法规；为中华人民共和国境内注册的独立法人机构，具有独立承担民事责任能力；</w:t>
      </w:r>
    </w:p>
    <w:p w14:paraId="2EB900ED">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2）具有独立法人资格，注册资本金500万元以上；经营范围应包括汽车配件生产加工、管材管件加工等服务项目；有3年以上汽车行业零部件加工分装等服务经验，有经验丰富的分装业务的员工团队，有为客户提供一体化零部件加工服务的硬件资源和运营能力；</w:t>
      </w:r>
    </w:p>
    <w:p w14:paraId="4C50BBA9">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（3）投标人须提供具有统一社会信用代码的新版营业执照副本原件及复印件（加盖公章）；</w:t>
      </w:r>
    </w:p>
    <w:p w14:paraId="154A2FDC">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4）具有良好的商业信誉，在国家企业信用信息公示系统中无与本投标项目相同或相似业务的行政处罚、列入经营异常名录和列入严重违法失信企业名单（黑名单）信息或列入司法系统被执行人或上述信息已被移除。</w:t>
      </w:r>
    </w:p>
    <w:p w14:paraId="28FF7E30">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（5）投标人在近三年内在经营活动中无违法记录，且营业收入和利润保持正常比值。</w:t>
      </w:r>
    </w:p>
    <w:p w14:paraId="3B7BCF14">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（6）具有健全的财务会计制度，财务状况和良好的市场行为。没有处于被有权机关吊销营业执照、吊销资质、停业整顿、取消投标资格以及财产被接管、冻结或进入破产程序等。</w:t>
      </w:r>
    </w:p>
    <w:p w14:paraId="73637747">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（7）投标人没有被列入招标人处《黑名单》（《黑名单》指投标人与招标人在以往或正在进行的合作中，存在招标人认为的违反合同约定或违反法律法规等的失信行为）的。</w:t>
      </w:r>
    </w:p>
    <w:p w14:paraId="42A12A03">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（8）投标人须提供法人授权委托书原件（在投标文件副本中可用复印件）及投标单位的法定代表人或授权代表的身份证原件及复印件（加盖公章）；</w:t>
      </w:r>
    </w:p>
    <w:p w14:paraId="26C013B2">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（9）投标人须具有履行合同所必需的设备、财务、技术、服务等方面的资质和能力；</w:t>
      </w:r>
    </w:p>
    <w:p w14:paraId="0ED1CA26">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（10）投标人须具有完全履行招标文件的所有要求的能力；</w:t>
      </w:r>
    </w:p>
    <w:p w14:paraId="7B272CB0">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（11）投标人须认可招标人的工作指令，包括节假日能正常开展工作的要求；</w:t>
      </w:r>
    </w:p>
    <w:p w14:paraId="0E7B2EDB">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（12）投标人并非联合投标或者代理投标；</w:t>
      </w:r>
    </w:p>
    <w:p w14:paraId="65A082CA">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（13）供方的直接或间接股东、法定代表人、董事、监事、高管非重汽员工及其亲属。</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E89FE8">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14</w:t>
      </w:r>
      <w:r>
        <w:rPr>
          <w:rFonts w:hint="eastAsia" w:ascii="宋体" w:hAnsi="Courier New" w:eastAsia="宋体" w:cs="Times New Roman"/>
          <w:highlight w:val="yellow"/>
          <w:lang w:val="en-US" w:eastAsia="zh-CN"/>
        </w:rPr>
        <w:t>日</w:t>
      </w:r>
    </w:p>
    <w:p w14:paraId="39B4A55D">
      <w:pPr>
        <w:pStyle w:val="76"/>
        <w:numPr>
          <w:ilvl w:val="0"/>
          <w:numId w:val="14"/>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1</w:t>
      </w:r>
      <w:r>
        <w:rPr>
          <w:rFonts w:hint="eastAsia"/>
          <w:highlight w:val="yellow"/>
        </w:rPr>
        <w:t>月</w:t>
      </w:r>
      <w:r>
        <w:rPr>
          <w:rFonts w:hint="eastAsia"/>
          <w:highlight w:val="yellow"/>
          <w:lang w:val="en-US" w:eastAsia="zh-CN"/>
        </w:rPr>
        <w:t>21</w:t>
      </w:r>
      <w:r>
        <w:rPr>
          <w:rFonts w:hint="eastAsia"/>
          <w:highlight w:val="yellow"/>
        </w:rPr>
        <w:t>日</w:t>
      </w:r>
    </w:p>
    <w:p w14:paraId="40FAA4B7">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21</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21</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4"/>
        </w:numPr>
        <w:jc w:val="both"/>
        <w:rPr>
          <w:highlight w:val="yellow"/>
        </w:rPr>
      </w:pPr>
      <w:r>
        <w:rPr>
          <w:rFonts w:hint="eastAsia"/>
          <w:highlight w:val="yellow"/>
        </w:rPr>
        <w:t>报名方式：在“中国重汽e采通”平台报名</w:t>
      </w:r>
    </w:p>
    <w:p w14:paraId="2CEC869C">
      <w:pPr>
        <w:pStyle w:val="76"/>
        <w:numPr>
          <w:ilvl w:val="0"/>
          <w:numId w:val="14"/>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1</w:t>
      </w:r>
      <w:r>
        <w:rPr>
          <w:rFonts w:hint="eastAsia" w:hAnsi="宋体" w:cs="宋体"/>
          <w:sz w:val="24"/>
          <w:szCs w:val="24"/>
          <w:highlight w:val="yellow"/>
        </w:rPr>
        <w:t>月</w:t>
      </w:r>
      <w:r>
        <w:rPr>
          <w:rFonts w:hint="eastAsia" w:hAnsi="宋体" w:cs="宋体"/>
          <w:sz w:val="24"/>
          <w:szCs w:val="24"/>
          <w:highlight w:val="yellow"/>
          <w:lang w:val="en-US" w:eastAsia="zh-CN"/>
        </w:rPr>
        <w:t>21</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6"/>
        </w:numPr>
        <w:ind w:left="425" w:leftChars="0" w:hanging="425" w:firstLineChars="0"/>
        <w:rPr>
          <w:b w:val="0"/>
          <w:bCs/>
          <w:highlight w:val="none"/>
        </w:rPr>
      </w:pPr>
      <w:r>
        <w:rPr>
          <w:rFonts w:hint="eastAsia"/>
          <w:b w:val="0"/>
          <w:bCs/>
          <w:highlight w:val="none"/>
        </w:rPr>
        <w:t>资质文件：</w:t>
      </w:r>
    </w:p>
    <w:p w14:paraId="13BAC003">
      <w:pPr>
        <w:pStyle w:val="75"/>
        <w:numPr>
          <w:ilvl w:val="0"/>
          <w:numId w:val="17"/>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7"/>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14:paraId="08F8AAFD">
      <w:pPr>
        <w:pStyle w:val="75"/>
        <w:numPr>
          <w:ilvl w:val="0"/>
          <w:numId w:val="17"/>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6E70AD99">
      <w:pPr>
        <w:pStyle w:val="74"/>
        <w:numPr>
          <w:ilvl w:val="0"/>
          <w:numId w:val="16"/>
        </w:numPr>
        <w:ind w:left="425" w:leftChars="0" w:hanging="425" w:firstLineChars="0"/>
        <w:rPr>
          <w:b w:val="0"/>
          <w:bCs/>
          <w:highlight w:val="yellow"/>
        </w:rPr>
      </w:pPr>
      <w:r>
        <w:rPr>
          <w:rFonts w:hint="eastAsia" w:cs="Times New Roman"/>
          <w:b w:val="0"/>
          <w:bCs/>
          <w:highlight w:val="yellow"/>
        </w:rPr>
        <w:t>技术标：</w:t>
      </w:r>
    </w:p>
    <w:p w14:paraId="523D056F">
      <w:pPr>
        <w:pStyle w:val="74"/>
        <w:numPr>
          <w:ilvl w:val="0"/>
          <w:numId w:val="0"/>
        </w:numPr>
        <w:ind w:leftChars="0" w:firstLine="210" w:firstLineChars="100"/>
        <w:rPr>
          <w:rFonts w:hint="eastAsia"/>
          <w:b w:val="0"/>
          <w:bCs/>
          <w:highlight w:val="none"/>
        </w:rPr>
      </w:pPr>
      <w:r>
        <w:rPr>
          <w:rFonts w:hint="eastAsia"/>
          <w:b w:val="0"/>
          <w:bCs/>
          <w:highlight w:val="none"/>
        </w:rPr>
        <w:t>1、预装线分装总体方案</w:t>
      </w:r>
    </w:p>
    <w:p w14:paraId="2846A7BE">
      <w:pPr>
        <w:pStyle w:val="74"/>
        <w:numPr>
          <w:ilvl w:val="0"/>
          <w:numId w:val="0"/>
        </w:numPr>
        <w:ind w:leftChars="0" w:firstLine="210" w:firstLineChars="100"/>
        <w:rPr>
          <w:rFonts w:hint="eastAsia"/>
          <w:b w:val="0"/>
          <w:bCs/>
          <w:highlight w:val="none"/>
        </w:rPr>
      </w:pPr>
      <w:r>
        <w:rPr>
          <w:rFonts w:hint="eastAsia"/>
          <w:b w:val="0"/>
          <w:bCs/>
          <w:highlight w:val="none"/>
        </w:rPr>
        <w:t>2、服务保障方案</w:t>
      </w:r>
    </w:p>
    <w:p w14:paraId="4B2D3F42">
      <w:pPr>
        <w:pStyle w:val="74"/>
        <w:numPr>
          <w:ilvl w:val="0"/>
          <w:numId w:val="0"/>
        </w:numPr>
        <w:ind w:leftChars="0" w:firstLine="210" w:firstLineChars="100"/>
        <w:rPr>
          <w:rFonts w:hint="eastAsia"/>
          <w:b w:val="0"/>
          <w:bCs/>
          <w:highlight w:val="none"/>
        </w:rPr>
      </w:pPr>
      <w:r>
        <w:rPr>
          <w:rFonts w:hint="eastAsia"/>
          <w:b w:val="0"/>
          <w:bCs/>
          <w:highlight w:val="none"/>
        </w:rPr>
        <w:t>2.1分装作业计划保障方案</w:t>
      </w:r>
    </w:p>
    <w:p w14:paraId="2A329281">
      <w:pPr>
        <w:pStyle w:val="74"/>
        <w:numPr>
          <w:ilvl w:val="0"/>
          <w:numId w:val="0"/>
        </w:numPr>
        <w:ind w:leftChars="0" w:firstLine="210" w:firstLineChars="100"/>
        <w:rPr>
          <w:rFonts w:hint="eastAsia"/>
          <w:b w:val="0"/>
          <w:bCs/>
          <w:highlight w:val="none"/>
        </w:rPr>
      </w:pPr>
      <w:r>
        <w:rPr>
          <w:rFonts w:hint="eastAsia"/>
          <w:b w:val="0"/>
          <w:bCs/>
          <w:highlight w:val="none"/>
        </w:rPr>
        <w:t>2.2分装作业质量保障方案.</w:t>
      </w:r>
    </w:p>
    <w:p w14:paraId="10ABBA7C">
      <w:pPr>
        <w:pStyle w:val="74"/>
        <w:numPr>
          <w:ilvl w:val="0"/>
          <w:numId w:val="0"/>
        </w:numPr>
        <w:ind w:leftChars="0" w:firstLine="210" w:firstLineChars="100"/>
        <w:rPr>
          <w:rFonts w:hint="eastAsia"/>
          <w:b w:val="0"/>
          <w:bCs/>
          <w:highlight w:val="none"/>
        </w:rPr>
      </w:pPr>
      <w:r>
        <w:rPr>
          <w:rFonts w:hint="eastAsia"/>
          <w:b w:val="0"/>
          <w:bCs/>
          <w:highlight w:val="none"/>
        </w:rPr>
        <w:t>2.3分装作业人员保障方案</w:t>
      </w:r>
    </w:p>
    <w:p w14:paraId="172C6AC5">
      <w:pPr>
        <w:pStyle w:val="74"/>
        <w:numPr>
          <w:ilvl w:val="0"/>
          <w:numId w:val="0"/>
        </w:numPr>
        <w:ind w:leftChars="0" w:firstLine="210" w:firstLineChars="100"/>
        <w:rPr>
          <w:rFonts w:hint="eastAsia"/>
          <w:b w:val="0"/>
          <w:bCs/>
          <w:highlight w:val="none"/>
        </w:rPr>
      </w:pPr>
      <w:r>
        <w:rPr>
          <w:rFonts w:hint="eastAsia"/>
          <w:b w:val="0"/>
          <w:bCs/>
          <w:highlight w:val="none"/>
        </w:rPr>
        <w:t>2.4分装作业设备维修保障方案.</w:t>
      </w:r>
    </w:p>
    <w:p w14:paraId="4361A797">
      <w:pPr>
        <w:pStyle w:val="74"/>
        <w:numPr>
          <w:ilvl w:val="0"/>
          <w:numId w:val="0"/>
        </w:numPr>
        <w:ind w:leftChars="0" w:firstLine="210" w:firstLineChars="100"/>
        <w:rPr>
          <w:rFonts w:hint="eastAsia"/>
          <w:b w:val="0"/>
          <w:bCs/>
          <w:highlight w:val="none"/>
        </w:rPr>
      </w:pPr>
      <w:r>
        <w:rPr>
          <w:rFonts w:hint="eastAsia"/>
          <w:b w:val="0"/>
          <w:bCs/>
          <w:highlight w:val="none"/>
        </w:rPr>
        <w:t>3、投标方可以根据自身的技术、经验等优势以及对本技术规范书和招标文件的理解，写明委托方招标项目应进行的优于本招标文件要求的其它方案或建议意见；投标方的这些努力，委托方表示感谢，并将有助于投标方优先胜出；</w:t>
      </w:r>
    </w:p>
    <w:p w14:paraId="42BE1CAB">
      <w:pPr>
        <w:pStyle w:val="74"/>
        <w:numPr>
          <w:ilvl w:val="0"/>
          <w:numId w:val="0"/>
        </w:numPr>
        <w:ind w:leftChars="0" w:firstLine="210" w:firstLineChars="100"/>
        <w:rPr>
          <w:rFonts w:hint="eastAsia"/>
          <w:b w:val="0"/>
          <w:bCs/>
          <w:highlight w:val="none"/>
        </w:rPr>
      </w:pPr>
      <w:r>
        <w:rPr>
          <w:rFonts w:hint="eastAsia"/>
          <w:b w:val="0"/>
          <w:bCs/>
          <w:highlight w:val="none"/>
        </w:rPr>
        <w:t>4、即使有建议意见或建议方案，仍应依据本招标文件要求，编写符合要求的投标文件。建议方案或建议意见，应以单独篇章或文件，予以说明。</w:t>
      </w:r>
    </w:p>
    <w:p w14:paraId="47175D6D">
      <w:pPr>
        <w:pStyle w:val="74"/>
        <w:numPr>
          <w:ilvl w:val="0"/>
          <w:numId w:val="16"/>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19"/>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19"/>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19"/>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19"/>
        </w:numPr>
        <w:ind w:left="425" w:leftChars="0" w:hanging="425" w:firstLineChars="0"/>
        <w:rPr>
          <w:b w:val="0"/>
          <w:bCs/>
          <w:highlight w:val="yellow"/>
        </w:rPr>
      </w:pPr>
      <w:r>
        <w:rPr>
          <w:rFonts w:hint="eastAsia"/>
          <w:b w:val="0"/>
          <w:bCs/>
          <w:highlight w:val="yellow"/>
        </w:rPr>
        <w:t>投标货物分项报价表</w:t>
      </w:r>
      <w:r>
        <w:rPr>
          <w:rFonts w:hint="eastAsia"/>
          <w:b w:val="0"/>
          <w:bCs/>
          <w:highlight w:val="yellow"/>
          <w:lang w:eastAsia="zh-CN"/>
        </w:rPr>
        <w:t>（</w:t>
      </w:r>
      <w:r>
        <w:rPr>
          <w:rFonts w:hint="eastAsia"/>
          <w:b w:val="0"/>
          <w:bCs/>
          <w:highlight w:val="yellow"/>
          <w:lang w:val="en-US" w:eastAsia="zh-CN"/>
        </w:rPr>
        <w:t>与技术联系人联系拟定）</w:t>
      </w:r>
      <w:r>
        <w:rPr>
          <w:rFonts w:hint="eastAsia"/>
          <w:b w:val="0"/>
          <w:bCs/>
          <w:highlight w:val="yellow"/>
        </w:rPr>
        <w:t>；</w:t>
      </w:r>
    </w:p>
    <w:p w14:paraId="53DECED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306.06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0"/>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0"/>
        </w:numPr>
        <w:rPr>
          <w:bCs/>
        </w:rPr>
      </w:pPr>
      <w:r>
        <w:rPr>
          <w:rFonts w:hint="eastAsia"/>
          <w:bCs/>
        </w:rPr>
        <w:t>联系人及联系方式：郭朝琛/</w:t>
      </w:r>
      <w:r>
        <w:rPr>
          <w:rFonts w:hint="eastAsia"/>
          <w:bCs/>
          <w:lang w:val="en-US" w:eastAsia="zh-CN"/>
        </w:rPr>
        <w:t>17860606311</w:t>
      </w:r>
    </w:p>
    <w:p w14:paraId="62955C20">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17</w:t>
      </w:r>
      <w:r>
        <w:rPr>
          <w:rFonts w:hint="eastAsia"/>
          <w:bCs/>
          <w:highlight w:val="yellow"/>
        </w:rPr>
        <w:t>日9:00:00</w:t>
      </w:r>
    </w:p>
    <w:p w14:paraId="25974AAC">
      <w:pPr>
        <w:pStyle w:val="72"/>
        <w:rPr>
          <w:rFonts w:hint="eastAsia" w:hAnsi="Courier New" w:cs="Times New Roman"/>
          <w:highlight w:val="none"/>
        </w:rPr>
      </w:pPr>
      <w:bookmarkStart w:id="1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2"/>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2万</w:t>
      </w:r>
      <w:r>
        <w:rPr>
          <w:rFonts w:hint="eastAsia" w:ascii="宋体" w:hAnsi="宋体" w:eastAsia="宋体" w:cs="宋体"/>
          <w:b w:val="0"/>
          <w:bCs w:val="0"/>
          <w:sz w:val="21"/>
          <w:szCs w:val="21"/>
          <w:highlight w:val="none"/>
        </w:rPr>
        <w:t>元</w:t>
      </w:r>
    </w:p>
    <w:p w14:paraId="5BBFD97F">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开户名称：中国重汽集团济南卡车股份有限公司</w:t>
      </w:r>
      <w:r>
        <w:rPr>
          <w:rFonts w:ascii="宋体" w:hAnsi="宋体" w:eastAsia="宋体" w:cs="宋体"/>
          <w:sz w:val="24"/>
          <w:szCs w:val="24"/>
        </w:rPr>
        <w:br w:type="textWrapping"/>
      </w:r>
      <w:r>
        <w:rPr>
          <w:rFonts w:ascii="宋体" w:hAnsi="宋体" w:eastAsia="宋体" w:cs="宋体"/>
          <w:sz w:val="24"/>
          <w:szCs w:val="24"/>
        </w:rPr>
        <w:t>开户银行：招商银行股份有限公司济南分行营业部</w:t>
      </w:r>
      <w:r>
        <w:rPr>
          <w:rFonts w:ascii="宋体" w:hAnsi="宋体" w:eastAsia="宋体" w:cs="宋体"/>
          <w:sz w:val="24"/>
          <w:szCs w:val="24"/>
        </w:rPr>
        <w:br w:type="textWrapping"/>
      </w:r>
      <w:r>
        <w:rPr>
          <w:rFonts w:ascii="宋体" w:hAnsi="宋体" w:eastAsia="宋体" w:cs="宋体"/>
          <w:sz w:val="24"/>
          <w:szCs w:val="24"/>
        </w:rPr>
        <w:t>银行帐号：531900051810601</w:t>
      </w:r>
      <w:r>
        <w:rPr>
          <w:rFonts w:ascii="宋体" w:hAnsi="宋体" w:eastAsia="宋体" w:cs="宋体"/>
          <w:sz w:val="24"/>
          <w:szCs w:val="24"/>
        </w:rPr>
        <w:br w:type="textWrapping"/>
      </w:r>
      <w:r>
        <w:rPr>
          <w:rFonts w:ascii="宋体" w:hAnsi="宋体" w:eastAsia="宋体" w:cs="宋体"/>
          <w:sz w:val="24"/>
          <w:szCs w:val="24"/>
        </w:rPr>
        <w:t>财务电话：0531-58067031</w:t>
      </w:r>
    </w:p>
    <w:p w14:paraId="1591D62C">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2025年12月1</w:t>
      </w:r>
      <w:r>
        <w:rPr>
          <w:rFonts w:hint="eastAsia" w:ascii="宋体" w:hAnsi="宋体" w:eastAsia="宋体" w:cs="宋体"/>
          <w:b w:val="0"/>
          <w:bCs w:val="0"/>
          <w:sz w:val="21"/>
          <w:szCs w:val="21"/>
          <w:highlight w:val="yellow"/>
          <w:lang w:val="en-US" w:eastAsia="zh-CN"/>
        </w:rPr>
        <w:t>7</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1"/>
    <w:p w14:paraId="368B6990">
      <w:pPr>
        <w:pStyle w:val="72"/>
      </w:pPr>
      <w:r>
        <w:rPr>
          <w:rFonts w:hint="eastAsia"/>
          <w:lang w:val="en-US" w:eastAsia="zh-CN"/>
        </w:rPr>
        <w:t>开评标</w:t>
      </w:r>
    </w:p>
    <w:p w14:paraId="7D70F083">
      <w:pPr>
        <w:pStyle w:val="72"/>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开标时间：2025年12月1</w:t>
      </w:r>
      <w:r>
        <w:rPr>
          <w:rFonts w:hint="eastAsia" w:ascii="宋体" w:hAnsi="宋体" w:eastAsia="宋体" w:cs="宋体"/>
          <w:b w:val="0"/>
          <w:bCs w:val="0"/>
          <w:sz w:val="21"/>
          <w:szCs w:val="21"/>
          <w:highlight w:val="yellow"/>
          <w:lang w:val="en-US" w:eastAsia="zh-CN"/>
        </w:rPr>
        <w:t>7</w:t>
      </w:r>
      <w:r>
        <w:rPr>
          <w:rFonts w:hint="eastAsia" w:ascii="宋体" w:hAnsi="宋体" w:eastAsia="宋体" w:cs="宋体"/>
          <w:b w:val="0"/>
          <w:bCs w:val="0"/>
          <w:sz w:val="21"/>
          <w:szCs w:val="21"/>
          <w:highlight w:val="yellow"/>
        </w:rPr>
        <w:t>日9:00:00</w:t>
      </w:r>
    </w:p>
    <w:p w14:paraId="7AEB0E73">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4"/>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45816947">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CCC458A">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14:paraId="0A3A33A9">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69021D98">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投标人得分＝∑评委评价得分/评委人数＋商务标得分</w:t>
      </w:r>
    </w:p>
    <w:p w14:paraId="0B2A8F6D">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5D3C0BDA">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rPr>
      </w:pPr>
      <w:r>
        <w:rPr>
          <w:rFonts w:hint="eastAsia" w:ascii="宋体" w:hAnsi="宋体" w:eastAsia="宋体" w:cs="宋体"/>
          <w:b w:val="0"/>
          <w:bCs w:val="0"/>
          <w:sz w:val="21"/>
          <w:szCs w:val="21"/>
          <w:highlight w:val="yellow"/>
          <w:lang w:val="en-US" w:eastAsia="zh-CN"/>
        </w:rPr>
        <w:t>评分标准</w:t>
      </w:r>
    </w:p>
    <w:p w14:paraId="3937F557">
      <w:pPr>
        <w:pStyle w:val="13"/>
        <w:spacing w:line="410" w:lineRule="exact"/>
        <w:ind w:left="549" w:leftChars="118" w:hanging="301" w:hangingChars="100"/>
        <w:jc w:val="center"/>
        <w:rPr>
          <w:rFonts w:eastAsia="仿宋_GB2312"/>
          <w:b/>
          <w:color w:val="000000"/>
          <w:sz w:val="30"/>
          <w:szCs w:val="30"/>
          <w:lang w:eastAsia="zh-CN"/>
        </w:rPr>
      </w:pPr>
      <w:r>
        <w:rPr>
          <w:rFonts w:eastAsia="仿宋_GB2312"/>
          <w:b/>
          <w:color w:val="000000"/>
          <w:sz w:val="30"/>
          <w:szCs w:val="30"/>
          <w:lang w:eastAsia="zh-CN"/>
        </w:rPr>
        <w:t>《评标因素及权重分值表》</w:t>
      </w:r>
    </w:p>
    <w:tbl>
      <w:tblPr>
        <w:tblStyle w:val="30"/>
        <w:tblpPr w:leftFromText="180" w:rightFromText="180" w:vertAnchor="page" w:horzAnchor="page" w:tblpX="790" w:tblpY="2001"/>
        <w:tblOverlap w:val="never"/>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31"/>
        <w:gridCol w:w="1134"/>
        <w:gridCol w:w="1134"/>
        <w:gridCol w:w="5406"/>
        <w:gridCol w:w="1276"/>
      </w:tblGrid>
      <w:tr w14:paraId="7D48C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846" w:type="dxa"/>
            <w:vAlign w:val="center"/>
          </w:tcPr>
          <w:p w14:paraId="6850F223">
            <w:pPr>
              <w:jc w:val="center"/>
              <w:rPr>
                <w:rFonts w:hint="eastAsia" w:ascii="宋体" w:hAnsi="宋体"/>
                <w:b/>
                <w:bCs/>
                <w:szCs w:val="21"/>
              </w:rPr>
            </w:pPr>
            <w:r>
              <w:rPr>
                <w:rFonts w:hint="eastAsia" w:ascii="宋体" w:hAnsi="宋体"/>
                <w:b/>
                <w:bCs/>
                <w:szCs w:val="21"/>
              </w:rPr>
              <w:t>评标因素</w:t>
            </w:r>
          </w:p>
        </w:tc>
        <w:tc>
          <w:tcPr>
            <w:tcW w:w="831" w:type="dxa"/>
            <w:vAlign w:val="center"/>
          </w:tcPr>
          <w:p w14:paraId="0D31E083">
            <w:pPr>
              <w:jc w:val="center"/>
              <w:rPr>
                <w:rFonts w:hint="eastAsia" w:ascii="宋体" w:hAnsi="宋体"/>
                <w:b/>
                <w:bCs/>
                <w:szCs w:val="21"/>
              </w:rPr>
            </w:pPr>
            <w:r>
              <w:rPr>
                <w:rFonts w:hint="eastAsia" w:ascii="宋体" w:hAnsi="宋体"/>
                <w:b/>
                <w:bCs/>
                <w:szCs w:val="21"/>
              </w:rPr>
              <w:t>总分</w:t>
            </w:r>
          </w:p>
        </w:tc>
        <w:tc>
          <w:tcPr>
            <w:tcW w:w="2268" w:type="dxa"/>
            <w:gridSpan w:val="2"/>
            <w:vAlign w:val="center"/>
          </w:tcPr>
          <w:p w14:paraId="4F851D5B">
            <w:pPr>
              <w:jc w:val="center"/>
              <w:rPr>
                <w:rFonts w:hint="eastAsia" w:ascii="宋体" w:hAnsi="宋体"/>
                <w:b/>
                <w:bCs/>
                <w:szCs w:val="21"/>
              </w:rPr>
            </w:pPr>
            <w:r>
              <w:rPr>
                <w:rFonts w:hint="eastAsia" w:ascii="宋体" w:hAnsi="宋体"/>
                <w:b/>
                <w:bCs/>
                <w:szCs w:val="21"/>
              </w:rPr>
              <w:t>评审内容</w:t>
            </w:r>
          </w:p>
        </w:tc>
        <w:tc>
          <w:tcPr>
            <w:tcW w:w="5406" w:type="dxa"/>
            <w:vAlign w:val="center"/>
          </w:tcPr>
          <w:p w14:paraId="5B6F79FB">
            <w:pPr>
              <w:jc w:val="center"/>
              <w:rPr>
                <w:rFonts w:hint="eastAsia" w:ascii="宋体" w:hAnsi="宋体"/>
                <w:b/>
                <w:bCs/>
                <w:szCs w:val="21"/>
              </w:rPr>
            </w:pPr>
            <w:r>
              <w:rPr>
                <w:rFonts w:hint="eastAsia" w:ascii="宋体" w:hAnsi="宋体"/>
                <w:b/>
                <w:bCs/>
                <w:szCs w:val="21"/>
              </w:rPr>
              <w:t>评分标准</w:t>
            </w:r>
          </w:p>
        </w:tc>
        <w:tc>
          <w:tcPr>
            <w:tcW w:w="1276" w:type="dxa"/>
            <w:vAlign w:val="center"/>
          </w:tcPr>
          <w:p w14:paraId="54BD6F49">
            <w:pPr>
              <w:jc w:val="center"/>
              <w:rPr>
                <w:rFonts w:hint="eastAsia" w:ascii="宋体" w:hAnsi="宋体"/>
                <w:b/>
                <w:bCs/>
                <w:szCs w:val="21"/>
              </w:rPr>
            </w:pPr>
            <w:r>
              <w:rPr>
                <w:rFonts w:hint="eastAsia" w:ascii="宋体" w:hAnsi="宋体"/>
                <w:b/>
                <w:bCs/>
                <w:szCs w:val="21"/>
              </w:rPr>
              <w:t>最高得分</w:t>
            </w:r>
          </w:p>
        </w:tc>
      </w:tr>
      <w:tr w14:paraId="4A94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0627" w:type="dxa"/>
            <w:gridSpan w:val="6"/>
          </w:tcPr>
          <w:p w14:paraId="6DF0A497">
            <w:pPr>
              <w:rPr>
                <w:rFonts w:hint="eastAsia" w:ascii="宋体" w:hAnsi="宋体"/>
                <w:b/>
                <w:bCs/>
                <w:szCs w:val="21"/>
              </w:rPr>
            </w:pPr>
            <w:r>
              <w:rPr>
                <w:rFonts w:hint="eastAsia" w:ascii="宋体" w:hAnsi="宋体"/>
                <w:b/>
                <w:bCs/>
                <w:szCs w:val="21"/>
              </w:rPr>
              <w:t>一、技术因素</w:t>
            </w:r>
          </w:p>
        </w:tc>
      </w:tr>
      <w:tr w14:paraId="73F90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0627" w:type="dxa"/>
            <w:gridSpan w:val="6"/>
          </w:tcPr>
          <w:p w14:paraId="382D5D02">
            <w:pPr>
              <w:rPr>
                <w:rFonts w:hint="eastAsia" w:ascii="宋体" w:hAnsi="宋体"/>
                <w:szCs w:val="21"/>
              </w:rPr>
            </w:pPr>
            <w:r>
              <w:rPr>
                <w:rFonts w:hint="eastAsia" w:ascii="宋体" w:hAnsi="宋体"/>
                <w:szCs w:val="21"/>
              </w:rPr>
              <w:t>1、技术评分标准要量化，各项目权重合理。</w:t>
            </w:r>
          </w:p>
        </w:tc>
      </w:tr>
      <w:tr w14:paraId="01F6B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0627" w:type="dxa"/>
            <w:gridSpan w:val="6"/>
          </w:tcPr>
          <w:p w14:paraId="588F6212">
            <w:pPr>
              <w:rPr>
                <w:rFonts w:hint="eastAsia" w:ascii="宋体" w:hAnsi="宋体"/>
                <w:szCs w:val="21"/>
              </w:rPr>
            </w:pPr>
            <w:r>
              <w:rPr>
                <w:rFonts w:hint="eastAsia" w:ascii="宋体" w:hAnsi="宋体"/>
                <w:szCs w:val="21"/>
              </w:rPr>
              <w:t>依照技术方案、质量保障、服务及其他评价内容的优先次序，根据分项评价值进行排名。若上述排名皆相同的，则由全体评委成员无记名投票，得票高者排序在前。</w:t>
            </w:r>
          </w:p>
        </w:tc>
      </w:tr>
      <w:tr w14:paraId="5BFC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627" w:type="dxa"/>
            <w:gridSpan w:val="6"/>
          </w:tcPr>
          <w:p w14:paraId="0FD40769">
            <w:pPr>
              <w:rPr>
                <w:rFonts w:hint="eastAsia" w:ascii="宋体" w:hAnsi="宋体"/>
                <w:szCs w:val="21"/>
              </w:rPr>
            </w:pPr>
            <w:r>
              <w:rPr>
                <w:rFonts w:hint="eastAsia" w:ascii="宋体" w:hAnsi="宋体"/>
                <w:szCs w:val="21"/>
              </w:rPr>
              <w:t>2、评委打分不得超过得分界限。</w:t>
            </w:r>
          </w:p>
        </w:tc>
      </w:tr>
      <w:tr w14:paraId="3F466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46" w:type="dxa"/>
            <w:vMerge w:val="restart"/>
            <w:vAlign w:val="center"/>
          </w:tcPr>
          <w:p w14:paraId="0FFC28A1">
            <w:pPr>
              <w:jc w:val="center"/>
              <w:rPr>
                <w:rFonts w:hint="eastAsia" w:ascii="宋体" w:hAnsi="宋体" w:eastAsia="宋体"/>
                <w:szCs w:val="21"/>
              </w:rPr>
            </w:pPr>
            <w:r>
              <w:rPr>
                <w:rFonts w:hint="eastAsia" w:ascii="宋体" w:hAnsi="宋体"/>
                <w:szCs w:val="21"/>
              </w:rPr>
              <w:t>技术因素（30%）</w:t>
            </w:r>
          </w:p>
        </w:tc>
        <w:tc>
          <w:tcPr>
            <w:tcW w:w="831" w:type="dxa"/>
            <w:vMerge w:val="restart"/>
            <w:vAlign w:val="center"/>
          </w:tcPr>
          <w:p w14:paraId="6CAEC6A0">
            <w:pPr>
              <w:jc w:val="center"/>
              <w:rPr>
                <w:rFonts w:hint="eastAsia" w:ascii="宋体" w:hAnsi="宋体"/>
                <w:szCs w:val="21"/>
              </w:rPr>
            </w:pPr>
            <w:r>
              <w:rPr>
                <w:rFonts w:hint="eastAsia" w:ascii="宋体" w:hAnsi="宋体"/>
                <w:szCs w:val="21"/>
              </w:rPr>
              <w:t>100</w:t>
            </w:r>
          </w:p>
        </w:tc>
        <w:tc>
          <w:tcPr>
            <w:tcW w:w="1134" w:type="dxa"/>
            <w:vMerge w:val="restart"/>
            <w:vAlign w:val="center"/>
          </w:tcPr>
          <w:p w14:paraId="1F6398FF">
            <w:pPr>
              <w:jc w:val="center"/>
              <w:rPr>
                <w:rFonts w:hint="eastAsia" w:ascii="宋体" w:hAnsi="宋体"/>
                <w:szCs w:val="21"/>
              </w:rPr>
            </w:pPr>
            <w:r>
              <w:rPr>
                <w:rFonts w:hint="eastAsia" w:ascii="宋体" w:hAnsi="宋体"/>
                <w:szCs w:val="21"/>
              </w:rPr>
              <w:t>技术方案</w:t>
            </w:r>
          </w:p>
        </w:tc>
        <w:tc>
          <w:tcPr>
            <w:tcW w:w="1134" w:type="dxa"/>
            <w:vMerge w:val="restart"/>
            <w:vAlign w:val="center"/>
          </w:tcPr>
          <w:p w14:paraId="4C91315E">
            <w:pPr>
              <w:jc w:val="center"/>
              <w:rPr>
                <w:rFonts w:hint="eastAsia" w:ascii="宋体" w:hAnsi="宋体"/>
                <w:szCs w:val="21"/>
              </w:rPr>
            </w:pPr>
            <w:r>
              <w:rPr>
                <w:rFonts w:hint="eastAsia" w:ascii="宋体" w:hAnsi="宋体"/>
                <w:szCs w:val="21"/>
              </w:rPr>
              <w:t>技术方案</w:t>
            </w:r>
          </w:p>
        </w:tc>
        <w:tc>
          <w:tcPr>
            <w:tcW w:w="5406" w:type="dxa"/>
          </w:tcPr>
          <w:p w14:paraId="7185E29B">
            <w:pPr>
              <w:rPr>
                <w:rFonts w:hint="eastAsia" w:ascii="宋体" w:hAnsi="宋体"/>
                <w:szCs w:val="21"/>
              </w:rPr>
            </w:pPr>
            <w:r>
              <w:rPr>
                <w:rFonts w:hint="eastAsia" w:ascii="宋体" w:hAnsi="宋体"/>
                <w:szCs w:val="21"/>
              </w:rPr>
              <w:t>技术标偏离情况只允许出现优于（即正偏离）、符合标书约定技术要求。</w:t>
            </w:r>
          </w:p>
        </w:tc>
        <w:tc>
          <w:tcPr>
            <w:tcW w:w="1276" w:type="dxa"/>
            <w:vMerge w:val="restart"/>
            <w:vAlign w:val="center"/>
          </w:tcPr>
          <w:p w14:paraId="08301EF7">
            <w:pPr>
              <w:jc w:val="center"/>
              <w:rPr>
                <w:rFonts w:hint="eastAsia" w:ascii="宋体" w:hAnsi="宋体"/>
                <w:szCs w:val="21"/>
              </w:rPr>
            </w:pPr>
            <w:r>
              <w:rPr>
                <w:rFonts w:hint="eastAsia" w:ascii="宋体" w:hAnsi="宋体"/>
                <w:szCs w:val="21"/>
              </w:rPr>
              <w:t>10</w:t>
            </w:r>
          </w:p>
        </w:tc>
      </w:tr>
      <w:tr w14:paraId="30C9D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46" w:type="dxa"/>
            <w:vMerge w:val="continue"/>
            <w:vAlign w:val="center"/>
          </w:tcPr>
          <w:p w14:paraId="0019B5FF">
            <w:pPr>
              <w:jc w:val="center"/>
              <w:rPr>
                <w:rFonts w:hint="eastAsia" w:ascii="宋体" w:hAnsi="宋体"/>
                <w:szCs w:val="21"/>
              </w:rPr>
            </w:pPr>
          </w:p>
        </w:tc>
        <w:tc>
          <w:tcPr>
            <w:tcW w:w="831" w:type="dxa"/>
            <w:vMerge w:val="continue"/>
            <w:vAlign w:val="center"/>
          </w:tcPr>
          <w:p w14:paraId="1E30D45E">
            <w:pPr>
              <w:jc w:val="center"/>
              <w:rPr>
                <w:rFonts w:hint="eastAsia" w:ascii="宋体" w:hAnsi="宋体"/>
                <w:szCs w:val="21"/>
              </w:rPr>
            </w:pPr>
          </w:p>
        </w:tc>
        <w:tc>
          <w:tcPr>
            <w:tcW w:w="1134" w:type="dxa"/>
            <w:vMerge w:val="continue"/>
            <w:vAlign w:val="center"/>
          </w:tcPr>
          <w:p w14:paraId="4454CBD6">
            <w:pPr>
              <w:jc w:val="center"/>
              <w:rPr>
                <w:rFonts w:hint="eastAsia" w:ascii="宋体" w:hAnsi="宋体"/>
                <w:szCs w:val="21"/>
              </w:rPr>
            </w:pPr>
          </w:p>
        </w:tc>
        <w:tc>
          <w:tcPr>
            <w:tcW w:w="1134" w:type="dxa"/>
            <w:vMerge w:val="continue"/>
            <w:vAlign w:val="center"/>
          </w:tcPr>
          <w:p w14:paraId="7478396B">
            <w:pPr>
              <w:jc w:val="center"/>
              <w:rPr>
                <w:rFonts w:hint="eastAsia" w:ascii="宋体" w:hAnsi="宋体"/>
                <w:szCs w:val="21"/>
              </w:rPr>
            </w:pPr>
          </w:p>
        </w:tc>
        <w:tc>
          <w:tcPr>
            <w:tcW w:w="5406" w:type="dxa"/>
          </w:tcPr>
          <w:p w14:paraId="2B0736D9">
            <w:pPr>
              <w:rPr>
                <w:rFonts w:hint="eastAsia" w:ascii="宋体" w:hAnsi="宋体"/>
                <w:szCs w:val="21"/>
              </w:rPr>
            </w:pPr>
            <w:r>
              <w:rPr>
                <w:rFonts w:hint="eastAsia" w:ascii="宋体" w:hAnsi="宋体"/>
                <w:szCs w:val="21"/>
              </w:rPr>
              <w:t>当所供技术服务优于招标文件要求，有具体可行性说明建议，得10分。完全满足标书要求，得8分。</w:t>
            </w:r>
          </w:p>
        </w:tc>
        <w:tc>
          <w:tcPr>
            <w:tcW w:w="1276" w:type="dxa"/>
            <w:vMerge w:val="continue"/>
            <w:vAlign w:val="center"/>
          </w:tcPr>
          <w:p w14:paraId="2D186054">
            <w:pPr>
              <w:jc w:val="center"/>
              <w:rPr>
                <w:rFonts w:hint="eastAsia" w:ascii="宋体" w:hAnsi="宋体"/>
                <w:szCs w:val="21"/>
              </w:rPr>
            </w:pPr>
          </w:p>
        </w:tc>
      </w:tr>
      <w:tr w14:paraId="428AE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846" w:type="dxa"/>
            <w:vMerge w:val="continue"/>
            <w:vAlign w:val="center"/>
          </w:tcPr>
          <w:p w14:paraId="7F944616">
            <w:pPr>
              <w:jc w:val="center"/>
              <w:rPr>
                <w:rFonts w:hint="eastAsia" w:ascii="宋体" w:hAnsi="宋体"/>
                <w:szCs w:val="21"/>
              </w:rPr>
            </w:pPr>
          </w:p>
        </w:tc>
        <w:tc>
          <w:tcPr>
            <w:tcW w:w="831" w:type="dxa"/>
            <w:vMerge w:val="continue"/>
            <w:vAlign w:val="center"/>
          </w:tcPr>
          <w:p w14:paraId="5FB00C2A">
            <w:pPr>
              <w:jc w:val="center"/>
              <w:rPr>
                <w:rFonts w:hint="eastAsia" w:ascii="宋体" w:hAnsi="宋体"/>
                <w:szCs w:val="21"/>
              </w:rPr>
            </w:pPr>
          </w:p>
        </w:tc>
        <w:tc>
          <w:tcPr>
            <w:tcW w:w="1134" w:type="dxa"/>
            <w:vMerge w:val="continue"/>
            <w:vAlign w:val="center"/>
          </w:tcPr>
          <w:p w14:paraId="12DC44DF">
            <w:pPr>
              <w:jc w:val="center"/>
              <w:rPr>
                <w:rFonts w:hint="eastAsia" w:ascii="宋体" w:hAnsi="宋体"/>
                <w:szCs w:val="21"/>
              </w:rPr>
            </w:pPr>
          </w:p>
        </w:tc>
        <w:tc>
          <w:tcPr>
            <w:tcW w:w="1134" w:type="dxa"/>
            <w:vMerge w:val="restart"/>
            <w:vAlign w:val="center"/>
          </w:tcPr>
          <w:p w14:paraId="5E4841AA">
            <w:pPr>
              <w:jc w:val="center"/>
              <w:rPr>
                <w:rFonts w:hint="eastAsia" w:ascii="宋体" w:hAnsi="宋体"/>
                <w:szCs w:val="21"/>
              </w:rPr>
            </w:pPr>
            <w:r>
              <w:rPr>
                <w:rFonts w:hint="eastAsia" w:ascii="宋体" w:hAnsi="宋体"/>
                <w:szCs w:val="21"/>
              </w:rPr>
              <w:t>项目规划</w:t>
            </w:r>
          </w:p>
        </w:tc>
        <w:tc>
          <w:tcPr>
            <w:tcW w:w="5406" w:type="dxa"/>
          </w:tcPr>
          <w:p w14:paraId="651ADD8A">
            <w:pPr>
              <w:rPr>
                <w:rFonts w:hint="eastAsia" w:ascii="宋体" w:hAnsi="宋体" w:eastAsia="宋体"/>
                <w:szCs w:val="21"/>
              </w:rPr>
            </w:pPr>
            <w:r>
              <w:rPr>
                <w:rFonts w:hint="eastAsia" w:ascii="宋体" w:hAnsi="宋体"/>
                <w:szCs w:val="21"/>
              </w:rPr>
              <w:t>项目总体规划实施方案（人员规划、作业流程设计、管理制度支持等）流程合理、完善、切实可行，视情况得0-20。</w:t>
            </w:r>
          </w:p>
        </w:tc>
        <w:tc>
          <w:tcPr>
            <w:tcW w:w="1276" w:type="dxa"/>
            <w:vAlign w:val="center"/>
          </w:tcPr>
          <w:p w14:paraId="17791F8C">
            <w:pPr>
              <w:jc w:val="center"/>
              <w:rPr>
                <w:rFonts w:hint="eastAsia" w:ascii="宋体" w:hAnsi="宋体"/>
                <w:szCs w:val="21"/>
              </w:rPr>
            </w:pPr>
            <w:r>
              <w:rPr>
                <w:rFonts w:hint="eastAsia" w:ascii="宋体" w:hAnsi="宋体"/>
                <w:szCs w:val="21"/>
              </w:rPr>
              <w:t>20</w:t>
            </w:r>
          </w:p>
        </w:tc>
      </w:tr>
      <w:tr w14:paraId="5D69D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46" w:type="dxa"/>
            <w:vMerge w:val="continue"/>
            <w:vAlign w:val="center"/>
          </w:tcPr>
          <w:p w14:paraId="5860E574">
            <w:pPr>
              <w:jc w:val="center"/>
              <w:rPr>
                <w:rFonts w:hint="eastAsia" w:ascii="宋体" w:hAnsi="宋体"/>
                <w:szCs w:val="21"/>
              </w:rPr>
            </w:pPr>
          </w:p>
        </w:tc>
        <w:tc>
          <w:tcPr>
            <w:tcW w:w="831" w:type="dxa"/>
            <w:vMerge w:val="continue"/>
            <w:vAlign w:val="center"/>
          </w:tcPr>
          <w:p w14:paraId="03B9C3C0">
            <w:pPr>
              <w:jc w:val="center"/>
              <w:rPr>
                <w:rFonts w:hint="eastAsia" w:ascii="宋体" w:hAnsi="宋体"/>
                <w:szCs w:val="21"/>
              </w:rPr>
            </w:pPr>
          </w:p>
        </w:tc>
        <w:tc>
          <w:tcPr>
            <w:tcW w:w="1134" w:type="dxa"/>
            <w:vMerge w:val="continue"/>
            <w:vAlign w:val="center"/>
          </w:tcPr>
          <w:p w14:paraId="21D6666A">
            <w:pPr>
              <w:jc w:val="center"/>
              <w:rPr>
                <w:rFonts w:hint="eastAsia" w:ascii="宋体" w:hAnsi="宋体"/>
                <w:szCs w:val="21"/>
              </w:rPr>
            </w:pPr>
          </w:p>
        </w:tc>
        <w:tc>
          <w:tcPr>
            <w:tcW w:w="1134" w:type="dxa"/>
            <w:vMerge w:val="continue"/>
            <w:vAlign w:val="center"/>
          </w:tcPr>
          <w:p w14:paraId="490F548B">
            <w:pPr>
              <w:jc w:val="center"/>
              <w:rPr>
                <w:rFonts w:hint="eastAsia" w:ascii="宋体" w:hAnsi="宋体"/>
                <w:szCs w:val="21"/>
              </w:rPr>
            </w:pPr>
          </w:p>
        </w:tc>
        <w:tc>
          <w:tcPr>
            <w:tcW w:w="5406" w:type="dxa"/>
          </w:tcPr>
          <w:p w14:paraId="531AE0E1">
            <w:pPr>
              <w:rPr>
                <w:rFonts w:hint="eastAsia" w:ascii="宋体" w:hAnsi="宋体" w:eastAsia="宋体"/>
                <w:szCs w:val="21"/>
              </w:rPr>
            </w:pPr>
            <w:r>
              <w:rPr>
                <w:rFonts w:hint="eastAsia" w:ascii="宋体" w:hAnsi="宋体"/>
                <w:szCs w:val="21"/>
              </w:rPr>
              <w:t>目标及预计取得效果，视情况得</w:t>
            </w:r>
            <w:r>
              <w:rPr>
                <w:rFonts w:ascii="宋体" w:hAnsi="宋体"/>
                <w:szCs w:val="21"/>
              </w:rPr>
              <w:t>1-10</w:t>
            </w:r>
            <w:r>
              <w:rPr>
                <w:rFonts w:hint="eastAsia" w:ascii="宋体" w:hAnsi="宋体"/>
                <w:szCs w:val="21"/>
              </w:rPr>
              <w:t>。</w:t>
            </w:r>
          </w:p>
        </w:tc>
        <w:tc>
          <w:tcPr>
            <w:tcW w:w="1276" w:type="dxa"/>
            <w:vAlign w:val="center"/>
          </w:tcPr>
          <w:p w14:paraId="0F46BCF4">
            <w:pPr>
              <w:jc w:val="center"/>
              <w:rPr>
                <w:rFonts w:hint="eastAsia" w:ascii="宋体" w:hAnsi="宋体"/>
                <w:szCs w:val="21"/>
              </w:rPr>
            </w:pPr>
            <w:r>
              <w:rPr>
                <w:rFonts w:ascii="宋体" w:hAnsi="宋体"/>
                <w:szCs w:val="21"/>
              </w:rPr>
              <w:t>10</w:t>
            </w:r>
          </w:p>
        </w:tc>
      </w:tr>
      <w:tr w14:paraId="12080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46" w:type="dxa"/>
            <w:vMerge w:val="continue"/>
            <w:vAlign w:val="center"/>
          </w:tcPr>
          <w:p w14:paraId="0FE28A07">
            <w:pPr>
              <w:jc w:val="center"/>
              <w:rPr>
                <w:rFonts w:hint="eastAsia" w:ascii="宋体" w:hAnsi="宋体"/>
                <w:szCs w:val="21"/>
              </w:rPr>
            </w:pPr>
          </w:p>
        </w:tc>
        <w:tc>
          <w:tcPr>
            <w:tcW w:w="831" w:type="dxa"/>
            <w:vMerge w:val="continue"/>
            <w:vAlign w:val="center"/>
          </w:tcPr>
          <w:p w14:paraId="588AED93">
            <w:pPr>
              <w:jc w:val="center"/>
              <w:rPr>
                <w:rFonts w:hint="eastAsia" w:ascii="宋体" w:hAnsi="宋体"/>
                <w:szCs w:val="21"/>
              </w:rPr>
            </w:pPr>
          </w:p>
        </w:tc>
        <w:tc>
          <w:tcPr>
            <w:tcW w:w="1134" w:type="dxa"/>
            <w:vMerge w:val="continue"/>
            <w:vAlign w:val="center"/>
          </w:tcPr>
          <w:p w14:paraId="303F5B9A">
            <w:pPr>
              <w:jc w:val="center"/>
              <w:rPr>
                <w:rFonts w:hint="eastAsia" w:ascii="宋体" w:hAnsi="宋体"/>
                <w:szCs w:val="21"/>
              </w:rPr>
            </w:pPr>
          </w:p>
        </w:tc>
        <w:tc>
          <w:tcPr>
            <w:tcW w:w="1134" w:type="dxa"/>
            <w:vMerge w:val="continue"/>
            <w:vAlign w:val="center"/>
          </w:tcPr>
          <w:p w14:paraId="0CB8C715">
            <w:pPr>
              <w:jc w:val="center"/>
              <w:rPr>
                <w:rFonts w:hint="eastAsia" w:ascii="宋体" w:hAnsi="宋体"/>
                <w:szCs w:val="21"/>
              </w:rPr>
            </w:pPr>
          </w:p>
        </w:tc>
        <w:tc>
          <w:tcPr>
            <w:tcW w:w="5406" w:type="dxa"/>
          </w:tcPr>
          <w:p w14:paraId="244F12C1">
            <w:pPr>
              <w:rPr>
                <w:rFonts w:hint="eastAsia" w:ascii="宋体" w:hAnsi="宋体" w:eastAsia="宋体"/>
                <w:szCs w:val="21"/>
              </w:rPr>
            </w:pPr>
            <w:r>
              <w:rPr>
                <w:rFonts w:hint="eastAsia" w:ascii="宋体" w:hAnsi="宋体"/>
                <w:szCs w:val="21"/>
              </w:rPr>
              <w:t>深度合作方案、持续降本措施，视情况得</w:t>
            </w:r>
            <w:r>
              <w:rPr>
                <w:rFonts w:ascii="宋体" w:hAnsi="宋体"/>
                <w:szCs w:val="21"/>
              </w:rPr>
              <w:t>1-10</w:t>
            </w:r>
            <w:r>
              <w:rPr>
                <w:rFonts w:hint="eastAsia" w:ascii="宋体" w:hAnsi="宋体"/>
                <w:szCs w:val="21"/>
              </w:rPr>
              <w:t>。</w:t>
            </w:r>
          </w:p>
        </w:tc>
        <w:tc>
          <w:tcPr>
            <w:tcW w:w="1276" w:type="dxa"/>
            <w:vAlign w:val="center"/>
          </w:tcPr>
          <w:p w14:paraId="4A8BCE70">
            <w:pPr>
              <w:jc w:val="center"/>
              <w:rPr>
                <w:rFonts w:hint="eastAsia" w:ascii="宋体" w:hAnsi="宋体"/>
                <w:szCs w:val="21"/>
              </w:rPr>
            </w:pPr>
            <w:r>
              <w:rPr>
                <w:rFonts w:hint="eastAsia" w:ascii="宋体" w:hAnsi="宋体"/>
                <w:szCs w:val="21"/>
              </w:rPr>
              <w:t>10</w:t>
            </w:r>
          </w:p>
        </w:tc>
      </w:tr>
      <w:tr w14:paraId="34F04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46" w:type="dxa"/>
            <w:vMerge w:val="continue"/>
            <w:vAlign w:val="center"/>
          </w:tcPr>
          <w:p w14:paraId="04BDC06C">
            <w:pPr>
              <w:jc w:val="center"/>
              <w:rPr>
                <w:rFonts w:hint="eastAsia" w:ascii="宋体" w:hAnsi="宋体"/>
                <w:szCs w:val="21"/>
              </w:rPr>
            </w:pPr>
          </w:p>
        </w:tc>
        <w:tc>
          <w:tcPr>
            <w:tcW w:w="831" w:type="dxa"/>
            <w:vMerge w:val="continue"/>
            <w:vAlign w:val="center"/>
          </w:tcPr>
          <w:p w14:paraId="1A95361E">
            <w:pPr>
              <w:jc w:val="center"/>
              <w:rPr>
                <w:rFonts w:hint="eastAsia" w:ascii="宋体" w:hAnsi="宋体"/>
                <w:szCs w:val="21"/>
              </w:rPr>
            </w:pPr>
          </w:p>
        </w:tc>
        <w:tc>
          <w:tcPr>
            <w:tcW w:w="2268" w:type="dxa"/>
            <w:gridSpan w:val="2"/>
            <w:vMerge w:val="restart"/>
            <w:vAlign w:val="center"/>
          </w:tcPr>
          <w:p w14:paraId="33B9B621">
            <w:pPr>
              <w:jc w:val="center"/>
              <w:rPr>
                <w:rFonts w:hint="eastAsia" w:ascii="宋体" w:hAnsi="宋体"/>
                <w:szCs w:val="21"/>
              </w:rPr>
            </w:pPr>
            <w:r>
              <w:rPr>
                <w:rFonts w:hint="eastAsia" w:ascii="宋体" w:hAnsi="宋体"/>
                <w:szCs w:val="21"/>
              </w:rPr>
              <w:t>质量保障</w:t>
            </w:r>
          </w:p>
        </w:tc>
        <w:tc>
          <w:tcPr>
            <w:tcW w:w="5406" w:type="dxa"/>
          </w:tcPr>
          <w:p w14:paraId="2C5FFA78">
            <w:pPr>
              <w:rPr>
                <w:rFonts w:hint="eastAsia" w:ascii="宋体" w:hAnsi="宋体"/>
                <w:szCs w:val="21"/>
              </w:rPr>
            </w:pPr>
            <w:r>
              <w:rPr>
                <w:rFonts w:hint="eastAsia" w:ascii="宋体" w:hAnsi="宋体"/>
                <w:szCs w:val="21"/>
              </w:rPr>
              <w:t>质量保证体系完整，措施有力，能有项目控制计划和质量保证相关承诺。根据提供的资料从优到劣进行综合评审排序，自主赋分0</w:t>
            </w:r>
            <w:r>
              <w:rPr>
                <w:rFonts w:ascii="宋体" w:hAnsi="宋体"/>
                <w:szCs w:val="21"/>
              </w:rPr>
              <w:t>-20</w:t>
            </w:r>
            <w:r>
              <w:rPr>
                <w:rFonts w:hint="eastAsia" w:ascii="宋体" w:hAnsi="宋体"/>
                <w:szCs w:val="21"/>
              </w:rPr>
              <w:t>。</w:t>
            </w:r>
          </w:p>
        </w:tc>
        <w:tc>
          <w:tcPr>
            <w:tcW w:w="1276" w:type="dxa"/>
            <w:vAlign w:val="center"/>
          </w:tcPr>
          <w:p w14:paraId="2CA69591">
            <w:pPr>
              <w:jc w:val="center"/>
              <w:rPr>
                <w:rFonts w:hint="eastAsia" w:ascii="宋体" w:hAnsi="宋体"/>
                <w:szCs w:val="21"/>
              </w:rPr>
            </w:pPr>
            <w:r>
              <w:rPr>
                <w:rFonts w:hint="eastAsia" w:ascii="宋体" w:hAnsi="宋体"/>
                <w:szCs w:val="21"/>
              </w:rPr>
              <w:t>20</w:t>
            </w:r>
          </w:p>
        </w:tc>
      </w:tr>
      <w:tr w14:paraId="60362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46" w:type="dxa"/>
            <w:vMerge w:val="continue"/>
            <w:vAlign w:val="center"/>
          </w:tcPr>
          <w:p w14:paraId="11D29F04">
            <w:pPr>
              <w:jc w:val="center"/>
              <w:rPr>
                <w:rFonts w:hint="eastAsia" w:ascii="宋体" w:hAnsi="宋体"/>
                <w:szCs w:val="21"/>
              </w:rPr>
            </w:pPr>
          </w:p>
        </w:tc>
        <w:tc>
          <w:tcPr>
            <w:tcW w:w="831" w:type="dxa"/>
            <w:vMerge w:val="continue"/>
            <w:vAlign w:val="center"/>
          </w:tcPr>
          <w:p w14:paraId="5EE37BF2">
            <w:pPr>
              <w:jc w:val="center"/>
              <w:rPr>
                <w:rFonts w:hint="eastAsia" w:ascii="宋体" w:hAnsi="宋体"/>
                <w:szCs w:val="21"/>
              </w:rPr>
            </w:pPr>
          </w:p>
        </w:tc>
        <w:tc>
          <w:tcPr>
            <w:tcW w:w="2268" w:type="dxa"/>
            <w:gridSpan w:val="2"/>
            <w:vMerge w:val="continue"/>
            <w:vAlign w:val="center"/>
          </w:tcPr>
          <w:p w14:paraId="6FB1D510">
            <w:pPr>
              <w:jc w:val="center"/>
              <w:rPr>
                <w:rFonts w:hint="eastAsia" w:ascii="宋体" w:hAnsi="宋体"/>
                <w:szCs w:val="21"/>
              </w:rPr>
            </w:pPr>
          </w:p>
        </w:tc>
        <w:tc>
          <w:tcPr>
            <w:tcW w:w="5406" w:type="dxa"/>
          </w:tcPr>
          <w:p w14:paraId="376D45BF">
            <w:pPr>
              <w:rPr>
                <w:rFonts w:hint="eastAsia" w:ascii="宋体" w:hAnsi="宋体"/>
                <w:szCs w:val="21"/>
              </w:rPr>
            </w:pPr>
            <w:r>
              <w:rPr>
                <w:rFonts w:hint="eastAsia" w:ascii="宋体" w:hAnsi="宋体"/>
                <w:szCs w:val="21"/>
              </w:rPr>
              <w:t>喷涂作业能力、应急服务满足招标文件要求，合理有效、切实可行，自主赋分0</w:t>
            </w:r>
            <w:r>
              <w:rPr>
                <w:rFonts w:ascii="宋体" w:hAnsi="宋体"/>
                <w:szCs w:val="21"/>
              </w:rPr>
              <w:t>-10</w:t>
            </w:r>
            <w:r>
              <w:rPr>
                <w:rFonts w:hint="eastAsia" w:ascii="宋体" w:hAnsi="宋体"/>
                <w:szCs w:val="21"/>
              </w:rPr>
              <w:t>。</w:t>
            </w:r>
          </w:p>
        </w:tc>
        <w:tc>
          <w:tcPr>
            <w:tcW w:w="1276" w:type="dxa"/>
            <w:vAlign w:val="center"/>
          </w:tcPr>
          <w:p w14:paraId="67BA564C">
            <w:pPr>
              <w:jc w:val="center"/>
              <w:rPr>
                <w:rFonts w:hint="eastAsia" w:ascii="宋体" w:hAnsi="宋体"/>
                <w:szCs w:val="21"/>
              </w:rPr>
            </w:pPr>
            <w:r>
              <w:rPr>
                <w:rFonts w:hint="eastAsia" w:ascii="宋体" w:hAnsi="宋体"/>
                <w:szCs w:val="21"/>
              </w:rPr>
              <w:t>10</w:t>
            </w:r>
          </w:p>
        </w:tc>
      </w:tr>
      <w:tr w14:paraId="5568B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846" w:type="dxa"/>
            <w:vMerge w:val="continue"/>
            <w:vAlign w:val="center"/>
          </w:tcPr>
          <w:p w14:paraId="2D7A0D67">
            <w:pPr>
              <w:jc w:val="center"/>
              <w:rPr>
                <w:rFonts w:hint="eastAsia" w:ascii="宋体" w:hAnsi="宋体"/>
                <w:szCs w:val="21"/>
              </w:rPr>
            </w:pPr>
          </w:p>
        </w:tc>
        <w:tc>
          <w:tcPr>
            <w:tcW w:w="831" w:type="dxa"/>
            <w:vMerge w:val="continue"/>
            <w:vAlign w:val="center"/>
          </w:tcPr>
          <w:p w14:paraId="63FBDCEA">
            <w:pPr>
              <w:jc w:val="center"/>
              <w:rPr>
                <w:rFonts w:hint="eastAsia" w:ascii="宋体" w:hAnsi="宋体"/>
                <w:szCs w:val="21"/>
              </w:rPr>
            </w:pPr>
          </w:p>
        </w:tc>
        <w:tc>
          <w:tcPr>
            <w:tcW w:w="2268" w:type="dxa"/>
            <w:gridSpan w:val="2"/>
            <w:vAlign w:val="center"/>
          </w:tcPr>
          <w:p w14:paraId="4C445528">
            <w:pPr>
              <w:jc w:val="center"/>
              <w:rPr>
                <w:rFonts w:hint="eastAsia" w:ascii="宋体" w:hAnsi="宋体"/>
                <w:szCs w:val="21"/>
              </w:rPr>
            </w:pPr>
            <w:r>
              <w:rPr>
                <w:rFonts w:hint="eastAsia" w:ascii="宋体" w:hAnsi="宋体"/>
                <w:szCs w:val="21"/>
              </w:rPr>
              <w:t>项目管理</w:t>
            </w:r>
          </w:p>
        </w:tc>
        <w:tc>
          <w:tcPr>
            <w:tcW w:w="5406" w:type="dxa"/>
          </w:tcPr>
          <w:p w14:paraId="51F67CDA">
            <w:pPr>
              <w:rPr>
                <w:rFonts w:hint="eastAsia" w:ascii="宋体" w:hAnsi="宋体" w:eastAsia="宋体"/>
                <w:szCs w:val="21"/>
              </w:rPr>
            </w:pPr>
            <w:r>
              <w:rPr>
                <w:rFonts w:hint="eastAsia" w:ascii="宋体" w:hAnsi="宋体"/>
                <w:szCs w:val="21"/>
              </w:rPr>
              <w:t>保证现场按5S标准管理，有管理流程或文件要求，根据流程或文件覆盖度、详细度，自主赋分1-10。</w:t>
            </w:r>
          </w:p>
        </w:tc>
        <w:tc>
          <w:tcPr>
            <w:tcW w:w="1276" w:type="dxa"/>
            <w:vAlign w:val="center"/>
          </w:tcPr>
          <w:p w14:paraId="347DE22C">
            <w:pPr>
              <w:jc w:val="center"/>
              <w:rPr>
                <w:rFonts w:hint="eastAsia" w:ascii="宋体" w:hAnsi="宋体" w:eastAsia="宋体"/>
                <w:szCs w:val="21"/>
              </w:rPr>
            </w:pPr>
            <w:r>
              <w:rPr>
                <w:rFonts w:hint="eastAsia" w:ascii="宋体" w:hAnsi="宋体"/>
                <w:szCs w:val="21"/>
              </w:rPr>
              <w:t>10</w:t>
            </w:r>
          </w:p>
        </w:tc>
      </w:tr>
      <w:tr w14:paraId="2CA8E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846" w:type="dxa"/>
            <w:vMerge w:val="continue"/>
            <w:vAlign w:val="center"/>
          </w:tcPr>
          <w:p w14:paraId="7AC402B2">
            <w:pPr>
              <w:jc w:val="center"/>
              <w:rPr>
                <w:rFonts w:hint="eastAsia" w:ascii="宋体" w:hAnsi="宋体"/>
                <w:szCs w:val="21"/>
              </w:rPr>
            </w:pPr>
          </w:p>
        </w:tc>
        <w:tc>
          <w:tcPr>
            <w:tcW w:w="831" w:type="dxa"/>
            <w:vMerge w:val="continue"/>
            <w:vAlign w:val="center"/>
          </w:tcPr>
          <w:p w14:paraId="5D8DF440">
            <w:pPr>
              <w:jc w:val="center"/>
              <w:rPr>
                <w:rFonts w:hint="eastAsia" w:ascii="宋体" w:hAnsi="宋体"/>
                <w:szCs w:val="21"/>
              </w:rPr>
            </w:pPr>
          </w:p>
        </w:tc>
        <w:tc>
          <w:tcPr>
            <w:tcW w:w="2268" w:type="dxa"/>
            <w:gridSpan w:val="2"/>
            <w:vAlign w:val="center"/>
          </w:tcPr>
          <w:p w14:paraId="3AA012BE">
            <w:pPr>
              <w:jc w:val="center"/>
              <w:rPr>
                <w:rFonts w:hint="eastAsia" w:ascii="宋体" w:hAnsi="宋体"/>
                <w:szCs w:val="21"/>
              </w:rPr>
            </w:pPr>
            <w:r>
              <w:rPr>
                <w:rFonts w:hint="eastAsia" w:ascii="宋体" w:hAnsi="宋体"/>
                <w:szCs w:val="21"/>
              </w:rPr>
              <w:t>业绩</w:t>
            </w:r>
          </w:p>
        </w:tc>
        <w:tc>
          <w:tcPr>
            <w:tcW w:w="5406" w:type="dxa"/>
          </w:tcPr>
          <w:p w14:paraId="3FD4AEBE">
            <w:pPr>
              <w:rPr>
                <w:rFonts w:hint="eastAsia" w:ascii="宋体" w:hAnsi="宋体"/>
                <w:szCs w:val="21"/>
              </w:rPr>
            </w:pPr>
            <w:r>
              <w:rPr>
                <w:rFonts w:hint="eastAsia" w:ascii="宋体" w:hAnsi="宋体"/>
                <w:szCs w:val="21"/>
              </w:rPr>
              <w:t>提供3份以上投标同类业绩，得10分；提供3份得6分；提供2份得4分；提供1份证明材料的，得2分；无证明材料的，不得分。</w:t>
            </w:r>
          </w:p>
        </w:tc>
        <w:tc>
          <w:tcPr>
            <w:tcW w:w="1276" w:type="dxa"/>
            <w:vAlign w:val="center"/>
          </w:tcPr>
          <w:p w14:paraId="19B272EA">
            <w:pPr>
              <w:jc w:val="center"/>
              <w:rPr>
                <w:rFonts w:hint="eastAsia" w:ascii="宋体" w:hAnsi="宋体"/>
                <w:szCs w:val="21"/>
              </w:rPr>
            </w:pPr>
            <w:r>
              <w:rPr>
                <w:rFonts w:hint="eastAsia" w:ascii="宋体" w:hAnsi="宋体"/>
                <w:szCs w:val="21"/>
              </w:rPr>
              <w:t>10</w:t>
            </w:r>
          </w:p>
        </w:tc>
      </w:tr>
      <w:tr w14:paraId="62CE4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0627" w:type="dxa"/>
            <w:gridSpan w:val="6"/>
          </w:tcPr>
          <w:p w14:paraId="6CFE9B15">
            <w:pPr>
              <w:numPr>
                <w:ilvl w:val="0"/>
                <w:numId w:val="27"/>
              </w:numPr>
              <w:rPr>
                <w:rFonts w:hint="eastAsia" w:ascii="宋体" w:hAnsi="宋体" w:eastAsia="宋体" w:cs="宋体"/>
                <w:sz w:val="20"/>
                <w:szCs w:val="20"/>
              </w:rPr>
            </w:pPr>
            <w:r>
              <w:rPr>
                <w:rFonts w:hint="eastAsia" w:ascii="宋体" w:hAnsi="宋体" w:eastAsia="宋体" w:cs="宋体"/>
                <w:sz w:val="20"/>
                <w:szCs w:val="20"/>
              </w:rPr>
              <w:t>技术标评分标准如上，商务标评分标准：当前轮次投标报价最低的投标报价为评标基准价，其价格分为100分（标准分）。其他投标人的价格分统一按照下列公式计算：投标报价得分=(评标基准价／投标报价)×100。</w:t>
            </w:r>
          </w:p>
          <w:p w14:paraId="04CE3DEE">
            <w:pPr>
              <w:rPr>
                <w:rFonts w:hint="eastAsia" w:ascii="宋体" w:hAnsi="宋体" w:eastAsia="宋体"/>
                <w:b/>
                <w:bCs/>
                <w:szCs w:val="21"/>
              </w:rPr>
            </w:pPr>
            <w:r>
              <w:rPr>
                <w:rFonts w:hint="eastAsia" w:ascii="宋体" w:hAnsi="宋体" w:eastAsia="宋体" w:cs="宋体"/>
                <w:sz w:val="20"/>
                <w:szCs w:val="20"/>
              </w:rPr>
              <w:t>2、采用综合评标法：技术标分数占比30%；商务标分数占比：70%。小数点后保留二位，第三位四舍五入。</w:t>
            </w:r>
          </w:p>
        </w:tc>
      </w:tr>
      <w:tr w14:paraId="6632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0627" w:type="dxa"/>
            <w:gridSpan w:val="6"/>
          </w:tcPr>
          <w:p w14:paraId="36BB3A29">
            <w:pPr>
              <w:rPr>
                <w:rFonts w:hint="eastAsia" w:ascii="宋体" w:hAnsi="宋体"/>
                <w:b/>
                <w:bCs/>
                <w:szCs w:val="21"/>
              </w:rPr>
            </w:pPr>
            <w:r>
              <w:rPr>
                <w:rFonts w:hint="eastAsia" w:ascii="宋体" w:hAnsi="宋体"/>
                <w:b/>
                <w:bCs/>
                <w:szCs w:val="21"/>
              </w:rPr>
              <w:t>二、整体要求</w:t>
            </w:r>
          </w:p>
        </w:tc>
      </w:tr>
      <w:tr w14:paraId="276E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627" w:type="dxa"/>
            <w:gridSpan w:val="6"/>
          </w:tcPr>
          <w:p w14:paraId="75E31304">
            <w:pPr>
              <w:rPr>
                <w:rFonts w:hint="eastAsia" w:ascii="宋体" w:hAnsi="宋体"/>
                <w:szCs w:val="21"/>
              </w:rPr>
            </w:pPr>
            <w:r>
              <w:rPr>
                <w:rFonts w:hint="eastAsia" w:ascii="宋体" w:hAnsi="宋体"/>
                <w:szCs w:val="21"/>
              </w:rPr>
              <w:t>1、各投标单位应符合投标资格，通过资格审核且缴纳投标保证金方为有效投标。</w:t>
            </w:r>
          </w:p>
        </w:tc>
      </w:tr>
      <w:tr w14:paraId="02827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0627" w:type="dxa"/>
            <w:gridSpan w:val="6"/>
          </w:tcPr>
          <w:p w14:paraId="13F8D1DB">
            <w:pPr>
              <w:rPr>
                <w:rFonts w:hint="eastAsia" w:ascii="宋体" w:hAnsi="宋体"/>
                <w:szCs w:val="21"/>
              </w:rPr>
            </w:pPr>
            <w:r>
              <w:rPr>
                <w:rFonts w:hint="eastAsia" w:ascii="宋体" w:hAnsi="宋体"/>
                <w:szCs w:val="21"/>
              </w:rPr>
              <w:t>2、投标单位提交的投标文件和资料必须真实有效。</w:t>
            </w:r>
          </w:p>
        </w:tc>
      </w:tr>
      <w:tr w14:paraId="01A6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0627" w:type="dxa"/>
            <w:gridSpan w:val="6"/>
          </w:tcPr>
          <w:p w14:paraId="75F301FE">
            <w:pPr>
              <w:rPr>
                <w:rFonts w:hint="eastAsia" w:ascii="宋体" w:hAnsi="宋体" w:eastAsia="宋体"/>
                <w:szCs w:val="21"/>
              </w:rPr>
            </w:pPr>
            <w:r>
              <w:rPr>
                <w:rFonts w:hint="eastAsia" w:ascii="宋体" w:hAnsi="宋体"/>
                <w:szCs w:val="21"/>
              </w:rPr>
              <w:t>3、合同签订前，招标方有权组织联合小组（财务、技术、设备、质量等）到中标候选人实地审核，如发现投标文件和资料有弄虚作假，招标方有权取消其中标候选人资格，同时招标方有权扣留其投标保证金。</w:t>
            </w:r>
          </w:p>
        </w:tc>
      </w:tr>
    </w:tbl>
    <w:p w14:paraId="4F105098">
      <w:pPr>
        <w:rPr>
          <w:rFonts w:hint="eastAsia"/>
        </w:rPr>
      </w:pPr>
    </w:p>
    <w:p w14:paraId="2BF844C5">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2" w:name="OLE_LINK25"/>
      <w:bookmarkStart w:id="13" w:name="OLE_LINK29"/>
      <w:bookmarkStart w:id="14" w:name="OLE_LINK26"/>
      <w:bookmarkStart w:id="15" w:name="OLE_LINK28"/>
      <w:bookmarkStart w:id="16" w:name="OLE_LINK27"/>
      <w:r>
        <w:rPr>
          <w:rFonts w:hint="eastAsia" w:ascii="宋体" w:hAnsi="宋体" w:eastAsia="宋体" w:cs="宋体"/>
          <w:bCs/>
          <w:sz w:val="21"/>
          <w:szCs w:val="21"/>
          <w:highlight w:val="none"/>
        </w:rPr>
        <w:t>；</w:t>
      </w:r>
      <w:bookmarkEnd w:id="12"/>
      <w:bookmarkEnd w:id="13"/>
      <w:bookmarkEnd w:id="14"/>
      <w:bookmarkEnd w:id="15"/>
      <w:bookmarkEnd w:id="16"/>
    </w:p>
    <w:p w14:paraId="5CD1D199">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60FCFD1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b/>
          <w:sz w:val="21"/>
          <w:szCs w:val="21"/>
        </w:rPr>
      </w:pPr>
      <w:r>
        <w:rPr>
          <w:rFonts w:hint="eastAsia" w:ascii="宋体" w:hAnsi="宋体" w:cs="宋体"/>
          <w:b/>
          <w:sz w:val="21"/>
          <w:szCs w:val="21"/>
        </w:rPr>
        <w:t>5.合同以双方最终签署的版本为准。</w:t>
      </w:r>
    </w:p>
    <w:p w14:paraId="66E20FD4">
      <w:pPr>
        <w:pStyle w:val="5"/>
        <w:rPr>
          <w:rFonts w:hint="default" w:eastAsia="宋体"/>
          <w:lang w:val="en-US" w:eastAsia="zh-CN"/>
        </w:rPr>
      </w:pPr>
      <w:r>
        <w:rPr>
          <w:rFonts w:hint="eastAsia" w:ascii="宋体" w:hAnsi="宋体" w:cs="宋体"/>
          <w:b/>
          <w:sz w:val="21"/>
          <w:szCs w:val="21"/>
          <w:lang w:val="en-US" w:eastAsia="zh-CN"/>
        </w:rPr>
        <w:t>6.合同为预装线分装业务外包协议。</w:t>
      </w:r>
    </w:p>
    <w:p w14:paraId="610E8BB3">
      <w:pPr>
        <w:pStyle w:val="72"/>
      </w:pPr>
      <w:r>
        <w:rPr>
          <w:rFonts w:hint="eastAsia"/>
          <w:lang w:val="en-US" w:eastAsia="zh-CN"/>
        </w:rPr>
        <w:t>交货及付款</w:t>
      </w:r>
    </w:p>
    <w:p w14:paraId="1494B402">
      <w:pPr>
        <w:pStyle w:val="72"/>
        <w:numPr>
          <w:ilvl w:val="0"/>
          <w:numId w:val="28"/>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20FC3DEA">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0CC6AC8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结算方式：合同约定期内内饰分装方面委托方无任何问题，委托方按每月下线辆份支付服务费(需提供相应的收据、增值税发票等)；（结算公式为当月结算费用=上月生产下线辆份×价格/辆份（不含税）=当月应付款金额（不含税）；</w:t>
      </w:r>
    </w:p>
    <w:p w14:paraId="226A8D53">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本次招标产量以绵阳14430辆份预计）</w:t>
      </w:r>
    </w:p>
    <w:p w14:paraId="6E0D7439">
      <w:pPr>
        <w:pStyle w:val="72"/>
        <w:rPr>
          <w:rFonts w:hint="eastAsia"/>
          <w:lang w:val="en-US" w:eastAsia="zh-CN"/>
        </w:rPr>
      </w:pPr>
      <w:r>
        <w:rPr>
          <w:rFonts w:hint="eastAsia"/>
          <w:lang w:val="en-US" w:eastAsia="zh-CN"/>
        </w:rPr>
        <w:t>本次招标最终解释权归中国重汽集团济南卡车股份有限公司制造公司。</w:t>
      </w:r>
    </w:p>
    <w:p w14:paraId="66BCACD8">
      <w:pPr>
        <w:pStyle w:val="76"/>
      </w:pPr>
    </w:p>
    <w:p w14:paraId="07A4B493">
      <w:pPr>
        <w:pStyle w:val="71"/>
        <w:jc w:val="both"/>
        <w:rPr>
          <w:rFonts w:hint="eastAsia"/>
        </w:rPr>
      </w:pPr>
      <w:bookmarkStart w:id="17" w:name="_Toc47976607"/>
    </w:p>
    <w:p w14:paraId="59FEB895">
      <w:pPr>
        <w:rPr>
          <w:rFonts w:hint="eastAsia"/>
        </w:rPr>
      </w:pPr>
      <w:r>
        <w:rPr>
          <w:rFonts w:hint="eastAsia"/>
        </w:rPr>
        <w:br w:type="page"/>
      </w:r>
    </w:p>
    <w:p w14:paraId="5466DA50">
      <w:pPr>
        <w:pStyle w:val="71"/>
        <w:jc w:val="center"/>
        <w:rPr>
          <w:rFonts w:hint="eastAsia"/>
          <w:lang w:val="en-US" w:eastAsia="zh-CN"/>
        </w:rPr>
      </w:pPr>
      <w:bookmarkStart w:id="18" w:name="_Toc1910"/>
      <w:r>
        <w:rPr>
          <w:rFonts w:hint="eastAsia"/>
        </w:rPr>
        <w:t>第二部分　</w:t>
      </w:r>
      <w:bookmarkEnd w:id="17"/>
      <w:r>
        <w:rPr>
          <w:rFonts w:hint="eastAsia"/>
          <w:lang w:val="en-US" w:eastAsia="zh-CN"/>
        </w:rPr>
        <w:t>技术标书</w:t>
      </w:r>
      <w:bookmarkEnd w:id="18"/>
    </w:p>
    <w:p w14:paraId="6C2F9193">
      <w:pPr>
        <w:jc w:val="center"/>
        <w:rPr>
          <w:rFonts w:hint="eastAsia" w:ascii="仿宋_GB2312" w:hAnsi="仿宋_GB2312" w:eastAsia="仿宋_GB2312" w:cs="仿宋_GB2312"/>
          <w:b/>
          <w:sz w:val="44"/>
          <w:szCs w:val="44"/>
        </w:rPr>
      </w:pPr>
      <w:r>
        <w:rPr>
          <w:rFonts w:hint="eastAsia" w:ascii="仿宋_GB2312" w:hAnsi="仿宋_GB2312" w:eastAsia="仿宋_GB2312" w:cs="仿宋_GB2312"/>
          <w:b/>
          <w:sz w:val="44"/>
          <w:szCs w:val="44"/>
        </w:rPr>
        <w:t>技术规范</w:t>
      </w:r>
    </w:p>
    <w:p w14:paraId="77F09D86">
      <w:pPr>
        <w:jc w:val="center"/>
        <w:rPr>
          <w:rFonts w:hint="eastAsia" w:ascii="仿宋_GB2312" w:hAnsi="仿宋_GB2312" w:eastAsia="仿宋_GB2312" w:cs="仿宋_GB2312"/>
          <w:b/>
          <w:sz w:val="28"/>
          <w:szCs w:val="28"/>
        </w:rPr>
      </w:pPr>
    </w:p>
    <w:p w14:paraId="64D817E3">
      <w:pPr>
        <w:spacing w:line="480" w:lineRule="exact"/>
        <w:ind w:left="1925" w:leftChars="250" w:hanging="1400" w:hangingChars="500"/>
        <w:rPr>
          <w:rFonts w:hint="eastAsia" w:ascii="仿宋_GB2312" w:hAnsi="仿宋_GB2312" w:eastAsia="仿宋_GB2312" w:cs="仿宋_GB2312"/>
          <w:sz w:val="28"/>
          <w:szCs w:val="28"/>
        </w:rPr>
      </w:pPr>
      <w:r>
        <w:rPr>
          <w:rFonts w:ascii="仿宋_GB2312" w:hAnsi="仿宋_GB2312" w:eastAsia="仿宋_GB2312" w:cs="仿宋_GB2312"/>
          <w:sz w:val="28"/>
          <w:szCs w:val="28"/>
        </w:rPr>
        <w:t>1</w:t>
      </w:r>
      <w:r>
        <w:rPr>
          <w:rFonts w:hint="eastAsia" w:ascii="仿宋_GB2312" w:hAnsi="仿宋_GB2312" w:eastAsia="仿宋_GB2312" w:cs="仿宋_GB2312"/>
          <w:sz w:val="28"/>
          <w:szCs w:val="28"/>
        </w:rPr>
        <w:t>）.分装要求：</w:t>
      </w:r>
    </w:p>
    <w:p w14:paraId="51194332">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（一）、生产作业计划：</w:t>
      </w:r>
    </w:p>
    <w:p w14:paraId="5133A5F0">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1、编制：甲方负责生产计划的编制,制定生产作业计划。</w:t>
      </w:r>
    </w:p>
    <w:p w14:paraId="4571BAAF">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2、下达：甲方将生产作业计划提前两天传递给乙方，乙方根据甲方的生产作业计划组织业务开展。</w:t>
      </w:r>
    </w:p>
    <w:p w14:paraId="3713A4E4">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调整：紧急情况下，甲方因特殊原因，需要紧急调整生产作业计划时，须及时通知乙方，并提供相关支持，乙方必须全力配合以便保证生产供应；乙方因特殊原因，需要调整生产计划时，必须经甲方书面同意后方可实施，以便保证生产供应。</w:t>
      </w:r>
    </w:p>
    <w:p w14:paraId="07A98617">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（二） 物资管理：</w:t>
      </w:r>
    </w:p>
    <w:p w14:paraId="0D89C9DF">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1、记录：乙方建立甲方仓储物资的台账，指定固定人员管理，并保管好相关单据。保证现场实物、台账、单据与物资管理系统信息一致。</w:t>
      </w:r>
    </w:p>
    <w:p w14:paraId="7A12153F">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2、盘点：乙方应按照甲方要求进行盘点，并形成相关记录，盘点范围包含乙方现场管理区域内所有产品。乙方对盘点结果数据准确性负全部责任。</w:t>
      </w:r>
    </w:p>
    <w:p w14:paraId="22C61CA8">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3、甲方有权对乙方的记录、盘点工作进行监督、核对，并有权对乙方的工作失误予以考核。</w:t>
      </w:r>
    </w:p>
    <w:p w14:paraId="25461BCB">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（三）、生产管理：</w:t>
      </w:r>
    </w:p>
    <w:p w14:paraId="0DA50E85">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1、设备操作：乙方设备操作人员必须经过专门培训，并经甲方考评合格后，持证上岗；无证人员不得操作设备。乙方设备操作人员的培训由乙方负责。</w:t>
      </w:r>
    </w:p>
    <w:p w14:paraId="102ABAA5">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2、产品摆放：乙方同意按要求执行甲方工艺文件，使用规定的工位器具，并按规定的数量、方式和排产顺序摆放整齐，不准出现超高、杂乱、混放等现象；乙方必须保证产品标示规范，标示卡与实物数量一致。</w:t>
      </w:r>
    </w:p>
    <w:p w14:paraId="5246F381">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3、因乙方人员的设备操作及产品摆放不符合上述约定，导致产生安全生产事故，由乙方自行承担所有损失。如因此给甲方或第三方造成任何损失，乙方承担全部赔偿责任。</w:t>
      </w:r>
    </w:p>
    <w:p w14:paraId="06F8721C">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4、乙方在使用甲方工位器具作业过程中，如出现人为原因损坏，乙方按照工位器具原价赔偿甲方。</w:t>
      </w:r>
    </w:p>
    <w:p w14:paraId="043E5246">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5、分装区域内附属设备设施在使用过程中如出现损坏，由乙方负责维修更换，甲方概不负责。</w:t>
      </w:r>
    </w:p>
    <w:p w14:paraId="65E70073">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6、 甲方负责监督管理乙方分装业务、分装区域内技术质量、现场管理等。</w:t>
      </w:r>
    </w:p>
    <w:p w14:paraId="6A091E61">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（四） 质量控制</w:t>
      </w:r>
    </w:p>
    <w:p w14:paraId="7ADF70F0">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1、乙方要提供质量管理体系认证证明，并提供相一致实施记录。</w:t>
      </w:r>
    </w:p>
    <w:p w14:paraId="68FC9122">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乙方要提供经甲方书面认可的承包生产过程的质量控制计划，计划要包含：操作岗位要求，操作者的工作技能、工作经历、受教育情况、上岗培训；相关生产设备、工装器具的维护保养；乙方要按照甲方生产过程相关的检测标准及作业指导书作业，要确保生产、仓储、转序的环境满足产品质量的要求。</w:t>
      </w:r>
    </w:p>
    <w:p w14:paraId="3C58BF8F">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3、乙方确保交付的产品经甲方检验人员的检验认可，符合甲方的质量标准要求。</w:t>
      </w:r>
    </w:p>
    <w:p w14:paraId="33B9B49B">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（五）、乙方承包的范围为：</w:t>
      </w:r>
    </w:p>
    <w:p w14:paraId="7652681C">
      <w:pPr>
        <w:numPr>
          <w:ilvl w:val="0"/>
          <w:numId w:val="29"/>
        </w:numPr>
        <w:spacing w:line="480" w:lineRule="exact"/>
        <w:rPr>
          <w:rFonts w:hint="eastAsia" w:ascii="仿宋_GB2312" w:hAnsi="仿宋_GB2312" w:eastAsia="仿宋_GB2312" w:cs="仿宋_GB2312"/>
          <w:bCs/>
          <w:sz w:val="28"/>
          <w:szCs w:val="28"/>
        </w:rPr>
      </w:pPr>
      <w:bookmarkStart w:id="19" w:name="OLE_LINK2"/>
      <w:r>
        <w:rPr>
          <w:rFonts w:hint="eastAsia" w:ascii="仿宋_GB2312" w:hAnsi="仿宋_GB2312" w:eastAsia="仿宋_GB2312" w:cs="仿宋_GB2312"/>
          <w:bCs/>
          <w:sz w:val="28"/>
          <w:szCs w:val="28"/>
        </w:rPr>
        <w:t>乙方承包甲方的底盘分装业务。</w:t>
      </w:r>
      <w:bookmarkEnd w:id="19"/>
      <w:r>
        <w:rPr>
          <w:rFonts w:hint="eastAsia" w:ascii="仿宋_GB2312" w:hAnsi="仿宋_GB2312" w:eastAsia="仿宋_GB2312" w:cs="仿宋_GB2312"/>
          <w:bCs/>
          <w:sz w:val="28"/>
          <w:szCs w:val="28"/>
        </w:rPr>
        <w:t>具体工作范围如下：</w:t>
      </w:r>
    </w:p>
    <w:p w14:paraId="5270F727">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 乙方负责将分装完毕后的分装总成投送到具体安装工位。</w:t>
      </w:r>
    </w:p>
    <w:p w14:paraId="52C66C1B">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2、乙方负责分装总成的工位器具的转运。</w:t>
      </w:r>
    </w:p>
    <w:p w14:paraId="212E38F4">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3、乙方负责分装总成及产品件的日常仓储管理。</w:t>
      </w:r>
    </w:p>
    <w:p w14:paraId="054BA6C3">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4、乙方负责安排人员针对车辆上线、下线、入库等过程中与承包范围内分装总成业务相关的问题处理、协调。</w:t>
      </w:r>
    </w:p>
    <w:p w14:paraId="42492A35">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5、乙方负责总装下线、入库等改制车辆的分装业务部分提供服务支持。</w:t>
      </w:r>
    </w:p>
    <w:p w14:paraId="0BE502E8">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6、乙方专人负责新产品试装验证、上场事宜。</w:t>
      </w:r>
    </w:p>
    <w:p w14:paraId="6BAD34FA">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7、分装过程中产品件存在的质量问题，乙方反馈甲方技术质量部协调相关产品件供方或质量监督部门处理。</w:t>
      </w:r>
    </w:p>
    <w:p w14:paraId="6ED64B96">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8、乙方承诺自己具有上述业务的承包资质，否则承担由此引起的一切法律后果。</w:t>
      </w:r>
    </w:p>
    <w:p w14:paraId="2E1EA192">
      <w:pPr>
        <w:numPr>
          <w:ilvl w:val="0"/>
          <w:numId w:val="29"/>
        </w:numPr>
        <w:spacing w:line="480" w:lineRule="exact"/>
        <w:rPr>
          <w:rFonts w:hint="eastAsia" w:ascii="仿宋_GB2312" w:hAnsi="仿宋_GB2312" w:eastAsia="仿宋_GB2312" w:cs="仿宋_GB2312"/>
          <w:bCs/>
          <w:sz w:val="28"/>
          <w:szCs w:val="28"/>
        </w:rPr>
      </w:pPr>
      <w:bookmarkStart w:id="20" w:name="_Toc15889"/>
      <w:bookmarkStart w:id="21" w:name="_Toc159"/>
      <w:r>
        <w:rPr>
          <w:rFonts w:hint="eastAsia" w:ascii="仿宋_GB2312" w:hAnsi="仿宋_GB2312" w:eastAsia="仿宋_GB2312" w:cs="仿宋_GB2312"/>
          <w:bCs/>
          <w:sz w:val="28"/>
          <w:szCs w:val="28"/>
        </w:rPr>
        <w:t>二、质量要求</w:t>
      </w:r>
      <w:bookmarkEnd w:id="20"/>
      <w:bookmarkEnd w:id="21"/>
    </w:p>
    <w:p w14:paraId="68291D0D">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（一）基本要求</w:t>
      </w:r>
    </w:p>
    <w:p w14:paraId="0C4C72B6">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1、投标方要通过质量管理活动不断提高全体员工的质量意识，制定完善的作业工艺、检验制度和考核制度，主动采取质量预防措施，及时发现质量问题并及时纠正。</w:t>
      </w:r>
    </w:p>
    <w:p w14:paraId="6BD974AD">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3、如果在作业或调试过程中发生质量事故，投标方应及时查明原因，制订解决方案，并以书面形式报告招标方，并按商定的处理方案实施。</w:t>
      </w:r>
    </w:p>
    <w:p w14:paraId="105DF268">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4、如果投标方不能满足质量要求而被发包方责令停工超过五次，招标方有权要求投标方停工并撤出承包现场。本合同终止，投标方承担违约责任。</w:t>
      </w:r>
    </w:p>
    <w:p w14:paraId="7F29466F">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5、投标方为招标方提供的产品，其质量特性必须符合绵阳分公司质量标准，以及客户提出的其他需求等。</w:t>
      </w:r>
    </w:p>
    <w:p w14:paraId="6D801B8A">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6、投标方生产过程中要首先对自己的产品实施自检，对接收的产品互检，以保证各工序环节符合工艺要求。</w:t>
      </w:r>
    </w:p>
    <w:p w14:paraId="66AD69DA">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（二）发生不合格的处理：</w:t>
      </w:r>
    </w:p>
    <w:p w14:paraId="25C2BF9E">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1、投标方应采取切实可行的措施，避免由投标方人员责任或操作原因造成批量性返线，以保证平均一次下线合格率。</w:t>
      </w:r>
    </w:p>
    <w:p w14:paraId="3B3DC7B2">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经招标方检验出现质量问题或被质量部门反馈需到现场修复的，投标方须无条件返修或现场服务，且必须保证达到招标方的质量要求，由此可能产生的额外费用或用户索赔由投标方全额承担。均纳入合格率进行统计。</w:t>
      </w:r>
    </w:p>
    <w:p w14:paraId="4C22D373">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针对重大、批量、连续出现的质量问题，招标方向投标方提出整改要求时，投标方必须在规定时间内向招标方提供书面整改措施报告，确保质量问题得到有效解决，经招标方确认后才能再次生产，由此造成的停产损失由投标方全部承担。</w:t>
      </w:r>
    </w:p>
    <w:p w14:paraId="6F16D02C">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4、投标方应对招标方的质量指标完成情况负责，由于投标方原因造成指标未完成的，由投标方无条件承担全部责任。</w:t>
      </w:r>
    </w:p>
    <w:p w14:paraId="593D0951">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5、违反工艺和质量保证体系，屡次出现质量问题，未及时整改、拒不整改的，对质量考核或索赔拒不执行的，招标方将从结算额中直接扣除。</w:t>
      </w:r>
    </w:p>
    <w:p w14:paraId="159B4078">
      <w:pPr>
        <w:numPr>
          <w:ilvl w:val="0"/>
          <w:numId w:val="29"/>
        </w:numPr>
        <w:spacing w:line="480" w:lineRule="exact"/>
        <w:rPr>
          <w:rFonts w:hint="eastAsia" w:ascii="仿宋_GB2312" w:hAnsi="仿宋_GB2312" w:eastAsia="仿宋_GB2312" w:cs="仿宋_GB2312"/>
          <w:bCs/>
          <w:sz w:val="28"/>
          <w:szCs w:val="28"/>
        </w:rPr>
      </w:pPr>
      <w:bookmarkStart w:id="22" w:name="_Toc29606"/>
      <w:bookmarkStart w:id="23" w:name="_Toc17452"/>
      <w:r>
        <w:rPr>
          <w:rFonts w:hint="eastAsia" w:ascii="仿宋_GB2312" w:hAnsi="仿宋_GB2312" w:eastAsia="仿宋_GB2312" w:cs="仿宋_GB2312"/>
          <w:bCs/>
          <w:sz w:val="28"/>
          <w:szCs w:val="28"/>
        </w:rPr>
        <w:t>三、人员要求：</w:t>
      </w:r>
      <w:bookmarkEnd w:id="22"/>
      <w:bookmarkEnd w:id="23"/>
    </w:p>
    <w:p w14:paraId="0004FF7C">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1、要求人员素质较高，无不良社会记录；</w:t>
      </w:r>
    </w:p>
    <w:p w14:paraId="5AC9DAE3">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2、为员工发放工装及配备合规的劳保护品，定期进行更换；按时进行职业健康查体，并提供查体报告复印件备查。</w:t>
      </w:r>
    </w:p>
    <w:p w14:paraId="0CDF2211">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3、为使用人员缴纳相应的保险 ；提供为员工缴纳工伤保险的相关证明； </w:t>
      </w:r>
    </w:p>
    <w:p w14:paraId="672AA138">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4、保证人员稳定，按照合同要求稳定数量，在岗员工必须持证上岗；</w:t>
      </w:r>
    </w:p>
    <w:p w14:paraId="6977C047">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5、在进入公司工作区域内必须严格遵守公司的相关制度，遵守员工劳动纪律；</w:t>
      </w:r>
    </w:p>
    <w:p w14:paraId="321842F4">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6、承包方按发包方的生产调度指令完成所承揽业务的作业，完成绵阳分公司提出的其他临时性协助工作；</w:t>
      </w:r>
    </w:p>
    <w:p w14:paraId="67CD5857">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7、承包方负责运营人员的日常管理和安全培训教育工作；</w:t>
      </w:r>
    </w:p>
    <w:p w14:paraId="4BC2E94E">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8、外包业务配置的人员数量应满足生产需求；</w:t>
      </w:r>
    </w:p>
    <w:p w14:paraId="0F7D3E2A">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9、在以上要求达不到标准的情况下，造成我方单位的经济损失，愿意接受相应考核。</w:t>
      </w:r>
    </w:p>
    <w:p w14:paraId="52C68927">
      <w:pPr>
        <w:pStyle w:val="62"/>
        <w:numPr>
          <w:ilvl w:val="0"/>
          <w:numId w:val="29"/>
        </w:numPr>
        <w:spacing w:line="480" w:lineRule="exact"/>
        <w:contextualSpacing w:val="0"/>
        <w:outlineLvl w:val="1"/>
        <w:rPr>
          <w:rFonts w:hint="eastAsia" w:ascii="宋体" w:hAnsi="宋体"/>
          <w:sz w:val="32"/>
          <w:szCs w:val="32"/>
        </w:rPr>
      </w:pPr>
      <w:r>
        <w:rPr>
          <w:rFonts w:hint="eastAsia" w:ascii="宋体" w:hAnsi="宋体"/>
          <w:sz w:val="32"/>
          <w:szCs w:val="32"/>
        </w:rPr>
        <w:t xml:space="preserve">    招标项目一览表</w:t>
      </w:r>
    </w:p>
    <w:tbl>
      <w:tblPr>
        <w:tblStyle w:val="30"/>
        <w:tblW w:w="8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1444"/>
        <w:gridCol w:w="1290"/>
        <w:gridCol w:w="1204"/>
        <w:gridCol w:w="1762"/>
        <w:gridCol w:w="1200"/>
        <w:gridCol w:w="1444"/>
      </w:tblGrid>
      <w:tr w14:paraId="358CB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vAlign w:val="center"/>
          </w:tcPr>
          <w:p w14:paraId="25888A57">
            <w:pPr>
              <w:spacing w:line="360" w:lineRule="exact"/>
              <w:jc w:val="center"/>
              <w:rPr>
                <w:rFonts w:hint="eastAsia" w:ascii="宋体" w:hAnsi="宋体"/>
                <w:b/>
                <w:sz w:val="21"/>
              </w:rPr>
            </w:pPr>
            <w:r>
              <w:rPr>
                <w:rFonts w:hint="eastAsia" w:ascii="宋体" w:hAnsi="宋体"/>
                <w:b/>
                <w:sz w:val="21"/>
              </w:rPr>
              <w:t>序号</w:t>
            </w:r>
          </w:p>
        </w:tc>
        <w:tc>
          <w:tcPr>
            <w:tcW w:w="1444" w:type="dxa"/>
            <w:vAlign w:val="center"/>
          </w:tcPr>
          <w:p w14:paraId="022FF809">
            <w:pPr>
              <w:spacing w:line="360" w:lineRule="exact"/>
              <w:jc w:val="center"/>
              <w:rPr>
                <w:rFonts w:hint="eastAsia" w:ascii="宋体" w:hAnsi="宋体"/>
                <w:b/>
                <w:sz w:val="21"/>
              </w:rPr>
            </w:pPr>
            <w:r>
              <w:rPr>
                <w:rFonts w:hint="eastAsia" w:ascii="宋体" w:hAnsi="宋体"/>
                <w:b/>
                <w:sz w:val="21"/>
              </w:rPr>
              <w:t>名称</w:t>
            </w:r>
          </w:p>
        </w:tc>
        <w:tc>
          <w:tcPr>
            <w:tcW w:w="1290" w:type="dxa"/>
            <w:vAlign w:val="center"/>
          </w:tcPr>
          <w:p w14:paraId="054B2F3D">
            <w:pPr>
              <w:spacing w:line="360" w:lineRule="exact"/>
              <w:jc w:val="center"/>
              <w:rPr>
                <w:rFonts w:hint="eastAsia" w:ascii="宋体" w:hAnsi="宋体"/>
                <w:b/>
                <w:sz w:val="21"/>
              </w:rPr>
            </w:pPr>
            <w:r>
              <w:rPr>
                <w:rFonts w:hint="eastAsia" w:ascii="宋体" w:hAnsi="宋体"/>
                <w:b/>
                <w:sz w:val="21"/>
              </w:rPr>
              <w:t>地点</w:t>
            </w:r>
          </w:p>
        </w:tc>
        <w:tc>
          <w:tcPr>
            <w:tcW w:w="1204" w:type="dxa"/>
            <w:vAlign w:val="center"/>
          </w:tcPr>
          <w:p w14:paraId="305FF2F5">
            <w:pPr>
              <w:spacing w:line="360" w:lineRule="exact"/>
              <w:jc w:val="center"/>
              <w:rPr>
                <w:rFonts w:hint="eastAsia" w:ascii="宋体" w:hAnsi="宋体"/>
                <w:b/>
                <w:sz w:val="21"/>
              </w:rPr>
            </w:pPr>
            <w:r>
              <w:rPr>
                <w:rFonts w:hint="eastAsia" w:ascii="宋体" w:hAnsi="宋体"/>
                <w:b/>
                <w:sz w:val="21"/>
              </w:rPr>
              <w:t>要求</w:t>
            </w:r>
          </w:p>
        </w:tc>
        <w:tc>
          <w:tcPr>
            <w:tcW w:w="1762" w:type="dxa"/>
            <w:vAlign w:val="center"/>
          </w:tcPr>
          <w:p w14:paraId="6BF86986">
            <w:pPr>
              <w:spacing w:line="360" w:lineRule="exact"/>
              <w:jc w:val="center"/>
              <w:rPr>
                <w:rFonts w:hint="eastAsia" w:ascii="宋体" w:hAnsi="宋体"/>
                <w:b/>
                <w:sz w:val="21"/>
              </w:rPr>
            </w:pPr>
            <w:r>
              <w:rPr>
                <w:rFonts w:hint="eastAsia" w:ascii="宋体" w:hAnsi="宋体"/>
                <w:b/>
                <w:sz w:val="21"/>
              </w:rPr>
              <w:t>项目地点实际情况</w:t>
            </w:r>
          </w:p>
        </w:tc>
        <w:tc>
          <w:tcPr>
            <w:tcW w:w="1200" w:type="dxa"/>
            <w:vAlign w:val="center"/>
          </w:tcPr>
          <w:p w14:paraId="33F5240B">
            <w:pPr>
              <w:spacing w:line="360" w:lineRule="exact"/>
              <w:jc w:val="center"/>
              <w:rPr>
                <w:rFonts w:hint="eastAsia" w:ascii="宋体" w:hAnsi="宋体"/>
                <w:b/>
                <w:sz w:val="21"/>
              </w:rPr>
            </w:pPr>
            <w:r>
              <w:rPr>
                <w:rFonts w:hint="eastAsia" w:ascii="宋体" w:hAnsi="宋体"/>
                <w:b/>
                <w:sz w:val="21"/>
              </w:rPr>
              <w:t>目的或用途</w:t>
            </w:r>
          </w:p>
        </w:tc>
        <w:tc>
          <w:tcPr>
            <w:tcW w:w="1444" w:type="dxa"/>
            <w:vAlign w:val="center"/>
          </w:tcPr>
          <w:p w14:paraId="5E747A82">
            <w:pPr>
              <w:spacing w:line="360" w:lineRule="exact"/>
              <w:jc w:val="center"/>
              <w:rPr>
                <w:rFonts w:hint="eastAsia" w:ascii="宋体" w:hAnsi="宋体"/>
                <w:b/>
                <w:sz w:val="21"/>
              </w:rPr>
            </w:pPr>
            <w:r>
              <w:rPr>
                <w:rFonts w:hint="eastAsia" w:ascii="宋体" w:hAnsi="宋体"/>
                <w:b/>
                <w:sz w:val="21"/>
              </w:rPr>
              <w:t>备注</w:t>
            </w:r>
          </w:p>
        </w:tc>
      </w:tr>
      <w:tr w14:paraId="1E1C2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89" w:type="dxa"/>
            <w:vAlign w:val="center"/>
          </w:tcPr>
          <w:p w14:paraId="7233CEDA">
            <w:pPr>
              <w:spacing w:line="360" w:lineRule="exact"/>
              <w:jc w:val="center"/>
              <w:rPr>
                <w:rFonts w:hint="eastAsia" w:ascii="宋体" w:hAnsi="宋体"/>
                <w:sz w:val="20"/>
              </w:rPr>
            </w:pPr>
            <w:r>
              <w:rPr>
                <w:rFonts w:hint="eastAsia" w:ascii="宋体" w:hAnsi="宋体"/>
                <w:sz w:val="20"/>
              </w:rPr>
              <w:t>1</w:t>
            </w:r>
          </w:p>
        </w:tc>
        <w:tc>
          <w:tcPr>
            <w:tcW w:w="1444" w:type="dxa"/>
            <w:vAlign w:val="center"/>
          </w:tcPr>
          <w:p w14:paraId="48936A3F">
            <w:pPr>
              <w:spacing w:line="360" w:lineRule="exact"/>
              <w:jc w:val="center"/>
              <w:rPr>
                <w:rFonts w:hint="eastAsia" w:ascii="宋体" w:hAnsi="宋体"/>
                <w:sz w:val="20"/>
              </w:rPr>
            </w:pPr>
            <w:r>
              <w:rPr>
                <w:rFonts w:hint="eastAsia" w:ascii="宋体" w:hAnsi="宋体"/>
                <w:sz w:val="20"/>
              </w:rPr>
              <w:t>绵阳分公司预装线分装项目</w:t>
            </w:r>
          </w:p>
        </w:tc>
        <w:tc>
          <w:tcPr>
            <w:tcW w:w="1290" w:type="dxa"/>
            <w:vAlign w:val="center"/>
          </w:tcPr>
          <w:p w14:paraId="5A5FBFD6">
            <w:pPr>
              <w:spacing w:line="360" w:lineRule="exact"/>
              <w:jc w:val="center"/>
              <w:rPr>
                <w:rFonts w:hint="eastAsia" w:ascii="宋体" w:hAnsi="宋体"/>
                <w:sz w:val="20"/>
              </w:rPr>
            </w:pPr>
            <w:r>
              <w:rPr>
                <w:rFonts w:hint="eastAsia" w:ascii="宋体" w:hAnsi="宋体"/>
                <w:sz w:val="20"/>
              </w:rPr>
              <w:t>绵阳分公司</w:t>
            </w:r>
          </w:p>
        </w:tc>
        <w:tc>
          <w:tcPr>
            <w:tcW w:w="1204" w:type="dxa"/>
            <w:vAlign w:val="center"/>
          </w:tcPr>
          <w:p w14:paraId="264F637D">
            <w:pPr>
              <w:spacing w:line="360" w:lineRule="exact"/>
              <w:jc w:val="center"/>
              <w:rPr>
                <w:rFonts w:hint="eastAsia" w:ascii="宋体" w:hAnsi="宋体"/>
                <w:sz w:val="20"/>
              </w:rPr>
            </w:pPr>
            <w:r>
              <w:rPr>
                <w:rFonts w:hint="eastAsia" w:ascii="宋体" w:hAnsi="宋体"/>
                <w:sz w:val="20"/>
              </w:rPr>
              <w:t>响应发包方各项规章制度</w:t>
            </w:r>
          </w:p>
        </w:tc>
        <w:tc>
          <w:tcPr>
            <w:tcW w:w="1762" w:type="dxa"/>
            <w:vAlign w:val="center"/>
          </w:tcPr>
          <w:p w14:paraId="4EA877B8">
            <w:pPr>
              <w:spacing w:line="360" w:lineRule="exact"/>
              <w:jc w:val="center"/>
              <w:rPr>
                <w:rFonts w:hint="eastAsia" w:ascii="宋体" w:hAnsi="宋体"/>
                <w:sz w:val="20"/>
              </w:rPr>
            </w:pPr>
            <w:r>
              <w:rPr>
                <w:rFonts w:hint="eastAsia" w:ascii="宋体" w:hAnsi="宋体"/>
                <w:sz w:val="20"/>
              </w:rPr>
              <w:t>总装现场分部</w:t>
            </w:r>
          </w:p>
        </w:tc>
        <w:tc>
          <w:tcPr>
            <w:tcW w:w="1200" w:type="dxa"/>
            <w:vAlign w:val="center"/>
          </w:tcPr>
          <w:p w14:paraId="3005A85C">
            <w:pPr>
              <w:spacing w:line="360" w:lineRule="exact"/>
              <w:jc w:val="center"/>
              <w:rPr>
                <w:rFonts w:hint="eastAsia" w:ascii="宋体" w:hAnsi="宋体"/>
                <w:sz w:val="20"/>
              </w:rPr>
            </w:pPr>
            <w:r>
              <w:rPr>
                <w:rFonts w:hint="eastAsia" w:ascii="宋体" w:hAnsi="宋体"/>
              </w:rPr>
              <w:t>绵阳分公司预装线分装外包</w:t>
            </w:r>
          </w:p>
        </w:tc>
        <w:tc>
          <w:tcPr>
            <w:tcW w:w="1444" w:type="dxa"/>
            <w:vAlign w:val="center"/>
          </w:tcPr>
          <w:p w14:paraId="64189515">
            <w:pPr>
              <w:spacing w:line="360" w:lineRule="exact"/>
              <w:jc w:val="center"/>
              <w:rPr>
                <w:rFonts w:hint="eastAsia" w:ascii="宋体" w:hAnsi="宋体"/>
                <w:sz w:val="20"/>
              </w:rPr>
            </w:pPr>
            <w:r>
              <w:rPr>
                <w:rFonts w:hint="eastAsia" w:ascii="宋体" w:hAnsi="宋体"/>
                <w:sz w:val="20"/>
              </w:rPr>
              <w:t>202</w:t>
            </w:r>
            <w:r>
              <w:rPr>
                <w:rFonts w:ascii="宋体" w:hAnsi="宋体"/>
                <w:sz w:val="20"/>
              </w:rPr>
              <w:t>6</w:t>
            </w:r>
            <w:r>
              <w:rPr>
                <w:rFonts w:hint="eastAsia" w:ascii="宋体" w:hAnsi="宋体"/>
                <w:sz w:val="20"/>
              </w:rPr>
              <w:t>.1.1-202</w:t>
            </w:r>
            <w:r>
              <w:rPr>
                <w:rFonts w:ascii="宋体" w:hAnsi="宋体"/>
                <w:sz w:val="20"/>
              </w:rPr>
              <w:t>6</w:t>
            </w:r>
            <w:r>
              <w:rPr>
                <w:rFonts w:hint="eastAsia" w:ascii="宋体" w:hAnsi="宋体"/>
                <w:sz w:val="20"/>
              </w:rPr>
              <w:t>.12.31</w:t>
            </w:r>
          </w:p>
        </w:tc>
      </w:tr>
    </w:tbl>
    <w:p w14:paraId="6E14B67C">
      <w:pPr>
        <w:rPr>
          <w:rFonts w:hint="eastAsia"/>
        </w:rPr>
      </w:pPr>
    </w:p>
    <w:p w14:paraId="41D8F5A4">
      <w:pPr>
        <w:jc w:val="center"/>
        <w:rPr>
          <w:rFonts w:hint="eastAsia" w:ascii="仿宋_GB2312" w:hAnsi="仿宋_GB2312" w:eastAsia="仿宋_GB2312" w:cs="仿宋_GB2312"/>
          <w:b/>
          <w:sz w:val="28"/>
          <w:szCs w:val="28"/>
        </w:rPr>
      </w:pPr>
    </w:p>
    <w:p w14:paraId="11BC5FB1">
      <w:pPr>
        <w:rPr>
          <w:rFonts w:hint="default"/>
          <w:lang w:val="en-US" w:eastAsia="zh-CN"/>
        </w:rPr>
      </w:pPr>
      <w:r>
        <w:rPr>
          <w:rFonts w:hint="default"/>
          <w:lang w:val="en-US" w:eastAsia="zh-CN"/>
        </w:rPr>
        <w:br w:type="page"/>
      </w:r>
    </w:p>
    <w:p w14:paraId="5871DF53">
      <w:pPr>
        <w:pStyle w:val="71"/>
      </w:pPr>
      <w:bookmarkStart w:id="24" w:name="_Toc47976609"/>
      <w:bookmarkStart w:id="25" w:name="_Toc20595"/>
      <w:r>
        <w:rPr>
          <w:rFonts w:hint="eastAsia"/>
        </w:rPr>
        <w:t>第三部分　合同主要条款</w:t>
      </w:r>
      <w:bookmarkEnd w:id="24"/>
      <w:bookmarkEnd w:id="25"/>
    </w:p>
    <w:p w14:paraId="23914DBE">
      <w:pPr>
        <w:pStyle w:val="72"/>
        <w:numPr>
          <w:ilvl w:val="0"/>
          <w:numId w:val="30"/>
        </w:numPr>
        <w:ind w:left="420"/>
      </w:pPr>
      <w:bookmarkStart w:id="26" w:name="_Toc47976610"/>
      <w:r>
        <w:rPr>
          <w:rFonts w:hint="eastAsia"/>
          <w:lang w:val="en-US" w:eastAsia="zh-CN"/>
        </w:rPr>
        <w:t>标的、数量、</w:t>
      </w:r>
      <w:r>
        <w:rPr>
          <w:rFonts w:hint="eastAsia"/>
        </w:rPr>
        <w:t>交货期</w:t>
      </w:r>
      <w:bookmarkEnd w:id="26"/>
    </w:p>
    <w:p w14:paraId="18603CA8">
      <w:pPr>
        <w:pStyle w:val="72"/>
      </w:pPr>
      <w:bookmarkStart w:id="27" w:name="_Toc47976611"/>
      <w:r>
        <w:rPr>
          <w:rFonts w:hint="eastAsia"/>
        </w:rPr>
        <w:t>交货地点</w:t>
      </w:r>
      <w:bookmarkEnd w:id="27"/>
    </w:p>
    <w:p w14:paraId="3F03A936">
      <w:pPr>
        <w:pStyle w:val="72"/>
      </w:pPr>
      <w:bookmarkStart w:id="28" w:name="_Toc47976612"/>
      <w:r>
        <w:rPr>
          <w:rFonts w:hint="eastAsia"/>
          <w:lang w:val="en-US" w:eastAsia="zh-CN"/>
        </w:rPr>
        <w:t>价款及</w:t>
      </w:r>
      <w:r>
        <w:rPr>
          <w:rFonts w:hint="eastAsia"/>
        </w:rPr>
        <w:t>付款方式</w:t>
      </w:r>
      <w:bookmarkEnd w:id="28"/>
    </w:p>
    <w:p w14:paraId="0A7F4E98">
      <w:pPr>
        <w:pStyle w:val="72"/>
      </w:pPr>
      <w:bookmarkStart w:id="29" w:name="_Toc47976613"/>
      <w:r>
        <w:rPr>
          <w:rFonts w:hint="eastAsia"/>
          <w:lang w:val="en-US" w:eastAsia="zh-CN"/>
        </w:rPr>
        <w:t>质量要求、</w:t>
      </w:r>
      <w:r>
        <w:rPr>
          <w:rFonts w:hint="eastAsia"/>
        </w:rPr>
        <w:t>保修期及售后服务</w:t>
      </w:r>
      <w:bookmarkEnd w:id="29"/>
    </w:p>
    <w:p w14:paraId="50F6C5C1">
      <w:pPr>
        <w:pStyle w:val="72"/>
      </w:pPr>
      <w:bookmarkStart w:id="30" w:name="_Toc47976614"/>
      <w:r>
        <w:rPr>
          <w:rFonts w:hint="eastAsia"/>
        </w:rPr>
        <w:t>安装、调试及验收要求</w:t>
      </w:r>
      <w:bookmarkEnd w:id="30"/>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31" w:name="_Toc47976615"/>
      <w:bookmarkStart w:id="32" w:name="_Toc5925"/>
      <w:r>
        <w:rPr>
          <w:rFonts w:hint="eastAsia"/>
        </w:rPr>
        <w:t>第四部分　</w:t>
      </w:r>
      <w:bookmarkEnd w:id="31"/>
      <w:r>
        <w:rPr>
          <w:rFonts w:hint="eastAsia"/>
          <w:lang w:val="en-US" w:eastAsia="zh-CN"/>
        </w:rPr>
        <w:t>投标文件附件</w:t>
      </w:r>
      <w:bookmarkEnd w:id="32"/>
    </w:p>
    <w:p w14:paraId="600DE1DD">
      <w:pPr>
        <w:pStyle w:val="71"/>
        <w:jc w:val="left"/>
        <w:rPr>
          <w:rFonts w:hint="eastAsia" w:ascii="宋体" w:hAnsi="宋体" w:eastAsia="宋体" w:cs="宋体"/>
          <w:sz w:val="32"/>
          <w:szCs w:val="32"/>
          <w:highlight w:val="yellow"/>
          <w:lang w:eastAsia="zh-CN"/>
        </w:rPr>
      </w:pPr>
      <w:bookmarkStart w:id="33" w:name="_Toc4225"/>
      <w:bookmarkStart w:id="34" w:name="_Toc47976616"/>
      <w:r>
        <w:rPr>
          <w:rFonts w:hint="eastAsia" w:ascii="宋体" w:hAnsi="宋体" w:eastAsia="宋体" w:cs="宋体"/>
          <w:sz w:val="32"/>
          <w:szCs w:val="32"/>
          <w:highlight w:val="yellow"/>
        </w:rPr>
        <w:t>附件</w:t>
      </w:r>
      <w:bookmarkEnd w:id="33"/>
      <w:bookmarkEnd w:id="34"/>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35" w:name="_Toc47976618"/>
      <w:bookmarkStart w:id="36" w:name="_Toc29366869"/>
      <w:bookmarkStart w:id="37" w:name="_Toc29366865"/>
      <w:r>
        <w:rPr>
          <w:rFonts w:hint="eastAsia" w:ascii="宋体" w:hAnsi="宋体" w:eastAsia="宋体" w:cs="宋体"/>
          <w:sz w:val="32"/>
          <w:szCs w:val="32"/>
          <w:highlight w:val="yellow"/>
          <w:lang w:val="en-US" w:eastAsia="zh-CN"/>
        </w:rPr>
        <w:t>附件2</w:t>
      </w:r>
    </w:p>
    <w:bookmarkEnd w:id="35"/>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2"/>
      </w:pPr>
    </w:p>
    <w:p w14:paraId="3A5DEF51">
      <w:pPr>
        <w:spacing w:line="360" w:lineRule="auto"/>
        <w:rPr>
          <w:rFonts w:ascii="宋体" w:hAnsi="宋体" w:cs="宋体"/>
          <w:sz w:val="24"/>
          <w:szCs w:val="21"/>
        </w:rPr>
      </w:pPr>
    </w:p>
    <w:bookmarkEnd w:id="36"/>
    <w:bookmarkEnd w:id="37"/>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308FC764">
      <w:pPr>
        <w:pStyle w:val="72"/>
        <w:numPr>
          <w:ilvl w:val="0"/>
          <w:numId w:val="0"/>
        </w:numPr>
        <w:ind w:leftChars="0"/>
        <w:jc w:val="center"/>
        <w:rPr>
          <w:rFonts w:hint="eastAsia"/>
          <w:lang w:val="en-US" w:eastAsia="zh-CN"/>
        </w:rPr>
      </w:pPr>
      <w:r>
        <w:rPr>
          <w:rFonts w:hint="eastAsia"/>
          <w:lang w:val="en-US" w:eastAsia="zh-CN"/>
        </w:rPr>
        <w:t>开标一览表</w:t>
      </w:r>
    </w:p>
    <w:p w14:paraId="5C13057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5266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A936B45">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1E0709A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17FDCA5F">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CFDF69E">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6A18842B">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5BAA2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4A5755E0">
            <w:pPr>
              <w:jc w:val="center"/>
              <w:rPr>
                <w:rFonts w:ascii="Times New Roman" w:hAnsi="Times New Roman" w:eastAsia="宋体" w:cs="Times New Roman"/>
                <w:b/>
                <w:szCs w:val="20"/>
              </w:rPr>
            </w:pPr>
          </w:p>
        </w:tc>
        <w:tc>
          <w:tcPr>
            <w:tcW w:w="1518" w:type="dxa"/>
            <w:vAlign w:val="center"/>
          </w:tcPr>
          <w:p w14:paraId="54DC8446">
            <w:pPr>
              <w:jc w:val="center"/>
              <w:rPr>
                <w:rFonts w:hint="eastAsia" w:ascii="Times New Roman" w:hAnsi="Times New Roman" w:eastAsia="宋体" w:cs="Times New Roman"/>
                <w:b/>
                <w:szCs w:val="20"/>
                <w:lang w:eastAsia="zh-CN"/>
              </w:rPr>
            </w:pPr>
          </w:p>
        </w:tc>
        <w:tc>
          <w:tcPr>
            <w:tcW w:w="848" w:type="dxa"/>
            <w:vAlign w:val="center"/>
          </w:tcPr>
          <w:p w14:paraId="36DF2E5E">
            <w:pPr>
              <w:jc w:val="center"/>
              <w:rPr>
                <w:rFonts w:hint="eastAsia" w:ascii="Times New Roman" w:hAnsi="Times New Roman" w:eastAsia="宋体" w:cs="Times New Roman"/>
                <w:b/>
                <w:szCs w:val="20"/>
                <w:lang w:val="en-US" w:eastAsia="zh-CN"/>
              </w:rPr>
            </w:pPr>
          </w:p>
        </w:tc>
        <w:tc>
          <w:tcPr>
            <w:tcW w:w="2270" w:type="dxa"/>
            <w:vAlign w:val="center"/>
          </w:tcPr>
          <w:p w14:paraId="0FB381A6">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53D09461">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097597C8">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1FCF983E">
            <w:pPr>
              <w:jc w:val="center"/>
              <w:rPr>
                <w:rFonts w:ascii="Times New Roman" w:hAnsi="Times New Roman" w:eastAsia="宋体" w:cs="Times New Roman"/>
                <w:b/>
                <w:szCs w:val="20"/>
              </w:rPr>
            </w:pPr>
          </w:p>
        </w:tc>
      </w:tr>
    </w:tbl>
    <w:p w14:paraId="2D275DAE">
      <w:pPr>
        <w:rPr>
          <w:rFonts w:ascii="宋体" w:hAnsi="Arial" w:eastAsia="宋体" w:cs="Times New Roman"/>
          <w:sz w:val="24"/>
          <w:szCs w:val="24"/>
        </w:rPr>
      </w:pPr>
    </w:p>
    <w:p w14:paraId="631E0DA4">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2489D3A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FF33B77">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04E7938D">
      <w:pPr>
        <w:pStyle w:val="2"/>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37948116">
      <w:pPr>
        <w:pStyle w:val="2"/>
        <w:rPr>
          <w:rFonts w:hint="eastAsia" w:hAnsi="宋体" w:eastAsia="宋体" w:cs="Times New Roman"/>
          <w:b/>
          <w:bCs/>
          <w:szCs w:val="21"/>
          <w:highlight w:val="yellow"/>
        </w:rPr>
      </w:pPr>
    </w:p>
    <w:p w14:paraId="122437DB">
      <w:pPr>
        <w:pStyle w:val="2"/>
        <w:rPr>
          <w:rFonts w:hint="eastAsia" w:hAnsi="宋体" w:eastAsia="宋体" w:cs="Times New Roman"/>
          <w:b/>
          <w:bCs/>
          <w:szCs w:val="21"/>
          <w:highlight w:val="yellow"/>
        </w:rPr>
      </w:pPr>
    </w:p>
    <w:p w14:paraId="04CA4F0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56A16EB6">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7C8223C">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5FBE699">
      <w:pPr>
        <w:pStyle w:val="72"/>
        <w:numPr>
          <w:ilvl w:val="0"/>
          <w:numId w:val="0"/>
        </w:numPr>
        <w:ind w:leftChars="0"/>
      </w:pPr>
      <w:r>
        <w:t xml:space="preserve"> </w:t>
      </w:r>
    </w:p>
    <w:p w14:paraId="629CACEA">
      <w:pPr>
        <w:pStyle w:val="72"/>
        <w:numPr>
          <w:ilvl w:val="0"/>
          <w:numId w:val="0"/>
        </w:numPr>
        <w:ind w:leftChars="0"/>
      </w:pPr>
    </w:p>
    <w:p w14:paraId="2CE14CF3">
      <w:pPr>
        <w:pStyle w:val="72"/>
        <w:numPr>
          <w:ilvl w:val="0"/>
          <w:numId w:val="0"/>
        </w:numPr>
        <w:ind w:leftChars="0"/>
      </w:pPr>
    </w:p>
    <w:p w14:paraId="2FBF7315">
      <w:pPr>
        <w:pStyle w:val="72"/>
        <w:numPr>
          <w:ilvl w:val="0"/>
          <w:numId w:val="0"/>
        </w:numPr>
        <w:ind w:leftChars="0"/>
      </w:pPr>
    </w:p>
    <w:p w14:paraId="5938BB61">
      <w:pPr>
        <w:pStyle w:val="72"/>
        <w:numPr>
          <w:ilvl w:val="0"/>
          <w:numId w:val="0"/>
        </w:numPr>
        <w:ind w:leftChars="0"/>
      </w:pPr>
    </w:p>
    <w:p w14:paraId="093739FC">
      <w:pPr>
        <w:pStyle w:val="72"/>
        <w:numPr>
          <w:ilvl w:val="0"/>
          <w:numId w:val="0"/>
        </w:numPr>
        <w:ind w:leftChars="0"/>
      </w:pPr>
    </w:p>
    <w:p w14:paraId="2C9B5DBD">
      <w:pPr>
        <w:pStyle w:val="72"/>
        <w:numPr>
          <w:ilvl w:val="0"/>
          <w:numId w:val="0"/>
        </w:numPr>
        <w:ind w:leftChars="0"/>
      </w:pPr>
    </w:p>
    <w:p w14:paraId="0013F30B">
      <w:pPr>
        <w:pStyle w:val="76"/>
        <w:ind w:firstLine="630" w:firstLineChars="300"/>
        <w:rPr>
          <w:rFonts w:hint="eastAsia"/>
        </w:rPr>
      </w:pPr>
    </w:p>
    <w:p w14:paraId="5824C4BF">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4DC52569">
      <w:pPr>
        <w:rPr>
          <w:rFonts w:ascii="宋体" w:hAnsi="宋体"/>
          <w:highlight w:val="none"/>
        </w:rPr>
      </w:pPr>
      <w:r>
        <w:rPr>
          <w:rFonts w:hint="eastAsia" w:ascii="宋体" w:hAnsi="宋体"/>
          <w:highlight w:val="none"/>
        </w:rPr>
        <w:t>项目名称：(XX项目)</w:t>
      </w:r>
    </w:p>
    <w:p w14:paraId="7C5EEEFF">
      <w:pPr>
        <w:rPr>
          <w:rFonts w:ascii="宋体" w:hAnsi="宋体"/>
          <w:highlight w:val="none"/>
        </w:rPr>
      </w:pPr>
    </w:p>
    <w:p w14:paraId="6E3467C4">
      <w:pPr>
        <w:rPr>
          <w:rFonts w:ascii="宋体" w:hAnsi="宋体"/>
          <w:szCs w:val="21"/>
          <w:highlight w:val="none"/>
        </w:rPr>
      </w:pPr>
      <w:r>
        <w:rPr>
          <w:rFonts w:hint="eastAsia" w:ascii="宋体" w:hAnsi="宋体"/>
          <w:szCs w:val="21"/>
          <w:highlight w:val="none"/>
        </w:rPr>
        <w:t>日期：  年   月   日</w:t>
      </w:r>
    </w:p>
    <w:p w14:paraId="278B8445">
      <w:pPr>
        <w:jc w:val="center"/>
        <w:rPr>
          <w:rFonts w:eastAsia="黑体"/>
          <w:b/>
          <w:bCs/>
          <w:sz w:val="28"/>
          <w:highlight w:val="none"/>
        </w:rPr>
      </w:pPr>
    </w:p>
    <w:p w14:paraId="4E16171B">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742C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745D662F">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395B0C6F">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73E794A8">
            <w:pPr>
              <w:jc w:val="center"/>
              <w:rPr>
                <w:rFonts w:ascii="宋体" w:hAnsi="宋体"/>
                <w:sz w:val="24"/>
                <w:highlight w:val="none"/>
              </w:rPr>
            </w:pPr>
            <w:r>
              <w:rPr>
                <w:rFonts w:hint="eastAsia" w:ascii="宋体" w:hAnsi="宋体"/>
                <w:sz w:val="24"/>
                <w:highlight w:val="none"/>
              </w:rPr>
              <w:t>偏离内容</w:t>
            </w:r>
          </w:p>
        </w:tc>
      </w:tr>
      <w:tr w14:paraId="6018B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CAC8D2F">
            <w:pPr>
              <w:rPr>
                <w:rFonts w:ascii="宋体" w:hAnsi="宋体"/>
                <w:sz w:val="24"/>
                <w:highlight w:val="none"/>
              </w:rPr>
            </w:pPr>
          </w:p>
        </w:tc>
        <w:tc>
          <w:tcPr>
            <w:tcW w:w="1080" w:type="dxa"/>
            <w:vAlign w:val="center"/>
          </w:tcPr>
          <w:p w14:paraId="10C57CF7">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4D648324">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302B1B1A">
            <w:pPr>
              <w:jc w:val="center"/>
              <w:rPr>
                <w:rFonts w:ascii="宋体" w:hAnsi="宋体"/>
                <w:sz w:val="24"/>
                <w:highlight w:val="none"/>
              </w:rPr>
            </w:pPr>
          </w:p>
        </w:tc>
      </w:tr>
      <w:tr w14:paraId="1112A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F7922EA">
            <w:pPr>
              <w:jc w:val="center"/>
              <w:rPr>
                <w:rFonts w:ascii="宋体" w:hAnsi="宋体"/>
                <w:sz w:val="24"/>
                <w:highlight w:val="none"/>
              </w:rPr>
            </w:pPr>
            <w:r>
              <w:rPr>
                <w:rFonts w:hint="eastAsia" w:ascii="宋体" w:hAnsi="宋体"/>
                <w:sz w:val="24"/>
                <w:highlight w:val="none"/>
              </w:rPr>
              <w:t>1</w:t>
            </w:r>
          </w:p>
        </w:tc>
        <w:tc>
          <w:tcPr>
            <w:tcW w:w="1080" w:type="dxa"/>
            <w:vAlign w:val="center"/>
          </w:tcPr>
          <w:p w14:paraId="538ABA5F">
            <w:pPr>
              <w:rPr>
                <w:rFonts w:ascii="宋体" w:hAnsi="宋体"/>
                <w:sz w:val="24"/>
                <w:highlight w:val="none"/>
              </w:rPr>
            </w:pPr>
          </w:p>
        </w:tc>
        <w:tc>
          <w:tcPr>
            <w:tcW w:w="3060" w:type="dxa"/>
            <w:vAlign w:val="center"/>
          </w:tcPr>
          <w:p w14:paraId="3C498C71">
            <w:pPr>
              <w:rPr>
                <w:rFonts w:ascii="宋体" w:hAnsi="宋体"/>
                <w:sz w:val="24"/>
                <w:highlight w:val="none"/>
              </w:rPr>
            </w:pPr>
          </w:p>
        </w:tc>
        <w:tc>
          <w:tcPr>
            <w:tcW w:w="3554" w:type="dxa"/>
            <w:vAlign w:val="center"/>
          </w:tcPr>
          <w:p w14:paraId="2F6E3968">
            <w:pPr>
              <w:rPr>
                <w:rFonts w:ascii="宋体" w:hAnsi="宋体"/>
                <w:sz w:val="24"/>
                <w:highlight w:val="none"/>
              </w:rPr>
            </w:pPr>
          </w:p>
        </w:tc>
      </w:tr>
      <w:tr w14:paraId="76B9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40B3D6B">
            <w:pPr>
              <w:jc w:val="center"/>
              <w:rPr>
                <w:rFonts w:ascii="宋体" w:hAnsi="宋体"/>
                <w:sz w:val="24"/>
                <w:highlight w:val="none"/>
              </w:rPr>
            </w:pPr>
            <w:r>
              <w:rPr>
                <w:rFonts w:hint="eastAsia" w:ascii="宋体" w:hAnsi="宋体"/>
                <w:sz w:val="24"/>
                <w:highlight w:val="none"/>
              </w:rPr>
              <w:t>2</w:t>
            </w:r>
          </w:p>
        </w:tc>
        <w:tc>
          <w:tcPr>
            <w:tcW w:w="1080" w:type="dxa"/>
            <w:vAlign w:val="center"/>
          </w:tcPr>
          <w:p w14:paraId="2AD3B2F3">
            <w:pPr>
              <w:rPr>
                <w:rFonts w:ascii="宋体" w:hAnsi="宋体"/>
                <w:sz w:val="24"/>
                <w:highlight w:val="none"/>
              </w:rPr>
            </w:pPr>
          </w:p>
        </w:tc>
        <w:tc>
          <w:tcPr>
            <w:tcW w:w="3060" w:type="dxa"/>
            <w:vAlign w:val="center"/>
          </w:tcPr>
          <w:p w14:paraId="7F9B0AE5">
            <w:pPr>
              <w:rPr>
                <w:rFonts w:ascii="宋体" w:hAnsi="宋体"/>
                <w:sz w:val="24"/>
                <w:highlight w:val="none"/>
              </w:rPr>
            </w:pPr>
          </w:p>
        </w:tc>
        <w:tc>
          <w:tcPr>
            <w:tcW w:w="3554" w:type="dxa"/>
            <w:vAlign w:val="center"/>
          </w:tcPr>
          <w:p w14:paraId="010C3404">
            <w:pPr>
              <w:rPr>
                <w:rFonts w:ascii="宋体" w:hAnsi="宋体"/>
                <w:sz w:val="24"/>
                <w:highlight w:val="none"/>
              </w:rPr>
            </w:pPr>
          </w:p>
        </w:tc>
      </w:tr>
      <w:tr w14:paraId="46F5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E1868C2">
            <w:pPr>
              <w:jc w:val="center"/>
              <w:rPr>
                <w:rFonts w:ascii="宋体" w:hAnsi="宋体"/>
                <w:sz w:val="24"/>
                <w:highlight w:val="none"/>
              </w:rPr>
            </w:pPr>
            <w:r>
              <w:rPr>
                <w:rFonts w:hint="eastAsia" w:ascii="宋体" w:hAnsi="宋体"/>
                <w:sz w:val="24"/>
                <w:highlight w:val="none"/>
              </w:rPr>
              <w:t>3</w:t>
            </w:r>
          </w:p>
        </w:tc>
        <w:tc>
          <w:tcPr>
            <w:tcW w:w="1080" w:type="dxa"/>
            <w:vAlign w:val="center"/>
          </w:tcPr>
          <w:p w14:paraId="7A8D31EC">
            <w:pPr>
              <w:rPr>
                <w:rFonts w:ascii="宋体" w:hAnsi="宋体"/>
                <w:sz w:val="24"/>
                <w:highlight w:val="none"/>
              </w:rPr>
            </w:pPr>
          </w:p>
        </w:tc>
        <w:tc>
          <w:tcPr>
            <w:tcW w:w="3060" w:type="dxa"/>
            <w:vAlign w:val="center"/>
          </w:tcPr>
          <w:p w14:paraId="756B7DFC">
            <w:pPr>
              <w:rPr>
                <w:rFonts w:ascii="宋体" w:hAnsi="宋体"/>
                <w:sz w:val="24"/>
                <w:highlight w:val="none"/>
              </w:rPr>
            </w:pPr>
          </w:p>
        </w:tc>
        <w:tc>
          <w:tcPr>
            <w:tcW w:w="3554" w:type="dxa"/>
            <w:vAlign w:val="center"/>
          </w:tcPr>
          <w:p w14:paraId="4D87A192">
            <w:pPr>
              <w:rPr>
                <w:rFonts w:ascii="宋体" w:hAnsi="宋体"/>
                <w:sz w:val="24"/>
                <w:highlight w:val="none"/>
              </w:rPr>
            </w:pPr>
          </w:p>
        </w:tc>
      </w:tr>
      <w:tr w14:paraId="6EBF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6B2605B">
            <w:pPr>
              <w:jc w:val="center"/>
              <w:rPr>
                <w:rFonts w:ascii="宋体" w:hAnsi="宋体"/>
                <w:sz w:val="24"/>
                <w:highlight w:val="none"/>
              </w:rPr>
            </w:pPr>
            <w:r>
              <w:rPr>
                <w:rFonts w:hint="eastAsia" w:ascii="宋体" w:hAnsi="宋体"/>
                <w:sz w:val="24"/>
                <w:highlight w:val="none"/>
              </w:rPr>
              <w:t>4</w:t>
            </w:r>
          </w:p>
        </w:tc>
        <w:tc>
          <w:tcPr>
            <w:tcW w:w="1080" w:type="dxa"/>
            <w:vAlign w:val="center"/>
          </w:tcPr>
          <w:p w14:paraId="15952CF5">
            <w:pPr>
              <w:rPr>
                <w:rFonts w:ascii="宋体" w:hAnsi="宋体"/>
                <w:sz w:val="24"/>
                <w:highlight w:val="none"/>
              </w:rPr>
            </w:pPr>
          </w:p>
        </w:tc>
        <w:tc>
          <w:tcPr>
            <w:tcW w:w="3060" w:type="dxa"/>
            <w:vAlign w:val="center"/>
          </w:tcPr>
          <w:p w14:paraId="62A65E7B">
            <w:pPr>
              <w:rPr>
                <w:rFonts w:ascii="宋体" w:hAnsi="宋体"/>
                <w:sz w:val="24"/>
                <w:highlight w:val="none"/>
              </w:rPr>
            </w:pPr>
          </w:p>
        </w:tc>
        <w:tc>
          <w:tcPr>
            <w:tcW w:w="3554" w:type="dxa"/>
            <w:vAlign w:val="center"/>
          </w:tcPr>
          <w:p w14:paraId="408F497A">
            <w:pPr>
              <w:rPr>
                <w:rFonts w:ascii="宋体" w:hAnsi="宋体"/>
                <w:sz w:val="24"/>
                <w:highlight w:val="none"/>
              </w:rPr>
            </w:pPr>
          </w:p>
        </w:tc>
      </w:tr>
      <w:tr w14:paraId="6150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AF085D5">
            <w:pPr>
              <w:jc w:val="center"/>
              <w:rPr>
                <w:rFonts w:ascii="宋体" w:hAnsi="宋体"/>
                <w:sz w:val="24"/>
                <w:highlight w:val="none"/>
              </w:rPr>
            </w:pPr>
            <w:r>
              <w:rPr>
                <w:rFonts w:hint="eastAsia" w:ascii="宋体" w:hAnsi="宋体"/>
                <w:sz w:val="24"/>
                <w:highlight w:val="none"/>
              </w:rPr>
              <w:t>5</w:t>
            </w:r>
          </w:p>
        </w:tc>
        <w:tc>
          <w:tcPr>
            <w:tcW w:w="1080" w:type="dxa"/>
            <w:vAlign w:val="center"/>
          </w:tcPr>
          <w:p w14:paraId="3403E861">
            <w:pPr>
              <w:rPr>
                <w:rFonts w:ascii="宋体" w:hAnsi="宋体"/>
                <w:sz w:val="24"/>
                <w:highlight w:val="none"/>
              </w:rPr>
            </w:pPr>
          </w:p>
        </w:tc>
        <w:tc>
          <w:tcPr>
            <w:tcW w:w="3060" w:type="dxa"/>
            <w:vAlign w:val="center"/>
          </w:tcPr>
          <w:p w14:paraId="237ECA7D">
            <w:pPr>
              <w:rPr>
                <w:rFonts w:ascii="宋体" w:hAnsi="宋体"/>
                <w:sz w:val="24"/>
                <w:highlight w:val="none"/>
              </w:rPr>
            </w:pPr>
          </w:p>
        </w:tc>
        <w:tc>
          <w:tcPr>
            <w:tcW w:w="3554" w:type="dxa"/>
            <w:vAlign w:val="center"/>
          </w:tcPr>
          <w:p w14:paraId="59C54394">
            <w:pPr>
              <w:rPr>
                <w:rFonts w:ascii="宋体" w:hAnsi="宋体"/>
                <w:sz w:val="24"/>
                <w:highlight w:val="none"/>
              </w:rPr>
            </w:pPr>
          </w:p>
        </w:tc>
      </w:tr>
      <w:tr w14:paraId="142C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6C5A1DA">
            <w:pPr>
              <w:jc w:val="center"/>
              <w:rPr>
                <w:rFonts w:ascii="宋体" w:hAnsi="宋体"/>
                <w:sz w:val="24"/>
                <w:highlight w:val="none"/>
              </w:rPr>
            </w:pPr>
            <w:r>
              <w:rPr>
                <w:rFonts w:hint="eastAsia" w:ascii="宋体" w:hAnsi="宋体"/>
                <w:sz w:val="24"/>
                <w:highlight w:val="none"/>
              </w:rPr>
              <w:t>6</w:t>
            </w:r>
          </w:p>
        </w:tc>
        <w:tc>
          <w:tcPr>
            <w:tcW w:w="1080" w:type="dxa"/>
            <w:vAlign w:val="center"/>
          </w:tcPr>
          <w:p w14:paraId="591E72D4">
            <w:pPr>
              <w:rPr>
                <w:rFonts w:ascii="宋体" w:hAnsi="宋体"/>
                <w:sz w:val="24"/>
                <w:highlight w:val="none"/>
              </w:rPr>
            </w:pPr>
          </w:p>
        </w:tc>
        <w:tc>
          <w:tcPr>
            <w:tcW w:w="3060" w:type="dxa"/>
            <w:vAlign w:val="center"/>
          </w:tcPr>
          <w:p w14:paraId="214B514F">
            <w:pPr>
              <w:rPr>
                <w:rFonts w:ascii="宋体" w:hAnsi="宋体"/>
                <w:sz w:val="24"/>
                <w:highlight w:val="none"/>
              </w:rPr>
            </w:pPr>
          </w:p>
        </w:tc>
        <w:tc>
          <w:tcPr>
            <w:tcW w:w="3554" w:type="dxa"/>
            <w:vAlign w:val="center"/>
          </w:tcPr>
          <w:p w14:paraId="388AB4ED">
            <w:pPr>
              <w:rPr>
                <w:rFonts w:ascii="宋体" w:hAnsi="宋体"/>
                <w:sz w:val="24"/>
                <w:highlight w:val="none"/>
              </w:rPr>
            </w:pPr>
          </w:p>
        </w:tc>
      </w:tr>
      <w:tr w14:paraId="460B3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139E5C3">
            <w:pPr>
              <w:jc w:val="center"/>
              <w:rPr>
                <w:rFonts w:ascii="宋体" w:hAnsi="宋体"/>
                <w:sz w:val="24"/>
                <w:highlight w:val="none"/>
              </w:rPr>
            </w:pPr>
            <w:r>
              <w:rPr>
                <w:rFonts w:hint="eastAsia" w:ascii="宋体" w:hAnsi="宋体"/>
                <w:sz w:val="24"/>
                <w:highlight w:val="none"/>
              </w:rPr>
              <w:t>7</w:t>
            </w:r>
          </w:p>
        </w:tc>
        <w:tc>
          <w:tcPr>
            <w:tcW w:w="1080" w:type="dxa"/>
            <w:vAlign w:val="center"/>
          </w:tcPr>
          <w:p w14:paraId="7A2B3692">
            <w:pPr>
              <w:rPr>
                <w:rFonts w:ascii="宋体" w:hAnsi="宋体"/>
                <w:sz w:val="24"/>
                <w:highlight w:val="none"/>
              </w:rPr>
            </w:pPr>
          </w:p>
        </w:tc>
        <w:tc>
          <w:tcPr>
            <w:tcW w:w="3060" w:type="dxa"/>
            <w:vAlign w:val="center"/>
          </w:tcPr>
          <w:p w14:paraId="43D5BC50">
            <w:pPr>
              <w:rPr>
                <w:rFonts w:ascii="宋体" w:hAnsi="宋体"/>
                <w:sz w:val="24"/>
                <w:highlight w:val="none"/>
              </w:rPr>
            </w:pPr>
          </w:p>
        </w:tc>
        <w:tc>
          <w:tcPr>
            <w:tcW w:w="3554" w:type="dxa"/>
            <w:vAlign w:val="center"/>
          </w:tcPr>
          <w:p w14:paraId="1EB034FF">
            <w:pPr>
              <w:rPr>
                <w:rFonts w:ascii="宋体" w:hAnsi="宋体"/>
                <w:sz w:val="24"/>
                <w:highlight w:val="none"/>
              </w:rPr>
            </w:pPr>
          </w:p>
        </w:tc>
      </w:tr>
      <w:tr w14:paraId="2453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751735A">
            <w:pPr>
              <w:jc w:val="center"/>
              <w:rPr>
                <w:rFonts w:ascii="宋体" w:hAnsi="宋体"/>
                <w:sz w:val="24"/>
                <w:highlight w:val="none"/>
              </w:rPr>
            </w:pPr>
            <w:r>
              <w:rPr>
                <w:rFonts w:hint="eastAsia" w:ascii="宋体" w:hAnsi="宋体"/>
                <w:sz w:val="24"/>
                <w:highlight w:val="none"/>
              </w:rPr>
              <w:t>8</w:t>
            </w:r>
          </w:p>
        </w:tc>
        <w:tc>
          <w:tcPr>
            <w:tcW w:w="1080" w:type="dxa"/>
            <w:vAlign w:val="center"/>
          </w:tcPr>
          <w:p w14:paraId="0A7BF74D">
            <w:pPr>
              <w:rPr>
                <w:rFonts w:ascii="宋体" w:hAnsi="宋体"/>
                <w:sz w:val="24"/>
                <w:highlight w:val="none"/>
              </w:rPr>
            </w:pPr>
          </w:p>
        </w:tc>
        <w:tc>
          <w:tcPr>
            <w:tcW w:w="3060" w:type="dxa"/>
            <w:vAlign w:val="center"/>
          </w:tcPr>
          <w:p w14:paraId="7B67645B">
            <w:pPr>
              <w:rPr>
                <w:rFonts w:ascii="宋体" w:hAnsi="宋体"/>
                <w:sz w:val="24"/>
                <w:highlight w:val="none"/>
              </w:rPr>
            </w:pPr>
          </w:p>
        </w:tc>
        <w:tc>
          <w:tcPr>
            <w:tcW w:w="3554" w:type="dxa"/>
            <w:vAlign w:val="center"/>
          </w:tcPr>
          <w:p w14:paraId="144C59C9">
            <w:pPr>
              <w:rPr>
                <w:rFonts w:ascii="宋体" w:hAnsi="宋体"/>
                <w:sz w:val="24"/>
                <w:highlight w:val="none"/>
              </w:rPr>
            </w:pPr>
          </w:p>
        </w:tc>
      </w:tr>
      <w:tr w14:paraId="3BAF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E3616E7">
            <w:pPr>
              <w:jc w:val="center"/>
              <w:rPr>
                <w:rFonts w:ascii="宋体" w:hAnsi="宋体"/>
                <w:sz w:val="24"/>
                <w:highlight w:val="none"/>
              </w:rPr>
            </w:pPr>
            <w:r>
              <w:rPr>
                <w:rFonts w:hint="eastAsia" w:ascii="宋体" w:hAnsi="宋体"/>
                <w:sz w:val="24"/>
                <w:highlight w:val="none"/>
              </w:rPr>
              <w:t>9</w:t>
            </w:r>
          </w:p>
        </w:tc>
        <w:tc>
          <w:tcPr>
            <w:tcW w:w="1080" w:type="dxa"/>
            <w:vAlign w:val="center"/>
          </w:tcPr>
          <w:p w14:paraId="4B369379">
            <w:pPr>
              <w:rPr>
                <w:rFonts w:ascii="宋体" w:hAnsi="宋体"/>
                <w:sz w:val="24"/>
                <w:highlight w:val="none"/>
              </w:rPr>
            </w:pPr>
          </w:p>
        </w:tc>
        <w:tc>
          <w:tcPr>
            <w:tcW w:w="3060" w:type="dxa"/>
            <w:vAlign w:val="center"/>
          </w:tcPr>
          <w:p w14:paraId="55224F27">
            <w:pPr>
              <w:rPr>
                <w:rFonts w:ascii="宋体" w:hAnsi="宋体"/>
                <w:sz w:val="24"/>
                <w:highlight w:val="none"/>
              </w:rPr>
            </w:pPr>
          </w:p>
        </w:tc>
        <w:tc>
          <w:tcPr>
            <w:tcW w:w="3554" w:type="dxa"/>
            <w:vAlign w:val="center"/>
          </w:tcPr>
          <w:p w14:paraId="50639014">
            <w:pPr>
              <w:rPr>
                <w:rFonts w:ascii="宋体" w:hAnsi="宋体"/>
                <w:sz w:val="24"/>
                <w:highlight w:val="none"/>
              </w:rPr>
            </w:pPr>
          </w:p>
        </w:tc>
      </w:tr>
      <w:tr w14:paraId="6CC5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F9D63E8">
            <w:pPr>
              <w:jc w:val="center"/>
              <w:rPr>
                <w:rFonts w:ascii="宋体" w:hAnsi="宋体"/>
                <w:sz w:val="24"/>
                <w:highlight w:val="none"/>
              </w:rPr>
            </w:pPr>
            <w:r>
              <w:rPr>
                <w:rFonts w:hint="eastAsia" w:ascii="宋体" w:hAnsi="宋体"/>
                <w:sz w:val="24"/>
                <w:highlight w:val="none"/>
              </w:rPr>
              <w:t>10</w:t>
            </w:r>
          </w:p>
        </w:tc>
        <w:tc>
          <w:tcPr>
            <w:tcW w:w="1080" w:type="dxa"/>
            <w:vAlign w:val="center"/>
          </w:tcPr>
          <w:p w14:paraId="5433C2BD">
            <w:pPr>
              <w:rPr>
                <w:rFonts w:ascii="宋体" w:hAnsi="宋体"/>
                <w:sz w:val="24"/>
                <w:highlight w:val="none"/>
              </w:rPr>
            </w:pPr>
          </w:p>
        </w:tc>
        <w:tc>
          <w:tcPr>
            <w:tcW w:w="3060" w:type="dxa"/>
            <w:vAlign w:val="center"/>
          </w:tcPr>
          <w:p w14:paraId="2D1D4A54">
            <w:pPr>
              <w:rPr>
                <w:rFonts w:ascii="宋体" w:hAnsi="宋体"/>
                <w:sz w:val="24"/>
                <w:highlight w:val="none"/>
              </w:rPr>
            </w:pPr>
          </w:p>
        </w:tc>
        <w:tc>
          <w:tcPr>
            <w:tcW w:w="3554" w:type="dxa"/>
            <w:vAlign w:val="center"/>
          </w:tcPr>
          <w:p w14:paraId="668B5942">
            <w:pPr>
              <w:rPr>
                <w:rFonts w:ascii="宋体" w:hAnsi="宋体"/>
                <w:sz w:val="24"/>
                <w:highlight w:val="none"/>
              </w:rPr>
            </w:pPr>
          </w:p>
        </w:tc>
      </w:tr>
    </w:tbl>
    <w:p w14:paraId="5C39E2CC">
      <w:pPr>
        <w:rPr>
          <w:rFonts w:ascii="宋体" w:hAnsi="宋体"/>
          <w:sz w:val="24"/>
          <w:highlight w:val="none"/>
        </w:rPr>
      </w:pPr>
    </w:p>
    <w:p w14:paraId="37AD7380">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61998052">
      <w:pPr>
        <w:rPr>
          <w:rFonts w:ascii="宋体" w:hAnsi="宋体"/>
          <w:sz w:val="24"/>
          <w:highlight w:val="none"/>
        </w:rPr>
      </w:pPr>
    </w:p>
    <w:p w14:paraId="069039FB">
      <w:pPr>
        <w:rPr>
          <w:rFonts w:ascii="宋体" w:hAnsi="宋体"/>
          <w:sz w:val="24"/>
          <w:highlight w:val="none"/>
        </w:rPr>
      </w:pPr>
    </w:p>
    <w:p w14:paraId="016D8BF8">
      <w:pPr>
        <w:rPr>
          <w:rFonts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02BEDE94">
      <w:pPr>
        <w:rPr>
          <w:rFonts w:hint="default" w:hAnsi="宋体"/>
          <w:sz w:val="24"/>
          <w:lang w:val="en-US"/>
        </w:rPr>
      </w:pPr>
      <w:r>
        <w:rPr>
          <w:rFonts w:hint="default" w:hAnsi="宋体"/>
          <w:sz w:val="24"/>
          <w:lang w:val="en-US"/>
        </w:rPr>
        <w:br w:type="page"/>
      </w:r>
    </w:p>
    <w:p w14:paraId="6DB6E000">
      <w:pPr>
        <w:pStyle w:val="2"/>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2"/>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2"/>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68C26661">
      <w:pPr>
        <w:pStyle w:val="2"/>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4BC81C19">
      <w:pPr>
        <w:pStyle w:val="2"/>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业务外包”，业务主管部门为“制造工程部”。</w:t>
      </w:r>
      <w:r>
        <w:rPr>
          <w:rFonts w:hint="eastAsia" w:ascii="宋体" w:hAnsi="宋体" w:cs="宋体"/>
          <w:b/>
          <w:bCs/>
          <w:color w:val="000000"/>
          <w:sz w:val="24"/>
          <w:szCs w:val="24"/>
        </w:rPr>
        <w:br w:type="page"/>
      </w:r>
    </w:p>
    <w:p w14:paraId="3EF56BD2">
      <w:pPr>
        <w:pStyle w:val="2"/>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2"/>
      </w:pPr>
      <w:r>
        <w:rPr>
          <w:rFonts w:hint="eastAsia" w:hAnsi="宋体" w:cs="宋体"/>
          <w:color w:val="000000"/>
          <w:sz w:val="24"/>
          <w:szCs w:val="28"/>
          <w:highlight w:val="yellow"/>
        </w:rPr>
        <w:t>注意：系统内的投标报价单位为“万元”，如开标现场发现填错报价，即直接淘汰。</w:t>
      </w:r>
    </w:p>
    <w:p w14:paraId="5AF6C707">
      <w:pPr>
        <w:pStyle w:val="6"/>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6"/>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60436E04">
      <w:pPr>
        <w:pStyle w:val="76"/>
        <w:rPr>
          <w:rFonts w:hint="default" w:ascii="宋体" w:hAnsi="宋体" w:eastAsia="宋体" w:cs="宋体"/>
          <w:b/>
          <w:bCs/>
          <w:kern w:val="2"/>
          <w:sz w:val="32"/>
          <w:szCs w:val="32"/>
          <w:lang w:val="en-US" w:eastAsia="zh-CN" w:bidi="ar-SA"/>
        </w:rPr>
      </w:pPr>
    </w:p>
    <w:p w14:paraId="05EDD613">
      <w:pPr>
        <w:pStyle w:val="76"/>
        <w:rPr>
          <w:rFonts w:hint="default" w:ascii="宋体" w:hAnsi="宋体" w:eastAsia="宋体" w:cs="宋体"/>
          <w:b/>
          <w:bCs/>
          <w:kern w:val="2"/>
          <w:sz w:val="32"/>
          <w:szCs w:val="32"/>
          <w:lang w:val="en-US" w:eastAsia="zh-CN" w:bidi="ar-SA"/>
        </w:rPr>
      </w:pPr>
    </w:p>
    <w:p w14:paraId="604B6336">
      <w:pPr>
        <w:pStyle w:val="76"/>
        <w:rPr>
          <w:rFonts w:hint="default" w:hAnsi="宋体"/>
          <w:sz w:val="24"/>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BFF518E"/>
    <w:multiLevelType w:val="singleLevel"/>
    <w:tmpl w:val="FBFF518E"/>
    <w:lvl w:ilvl="0" w:tentative="0">
      <w:start w:val="1"/>
      <w:numFmt w:val="bullet"/>
      <w:lvlText w:val=""/>
      <w:lvlJc w:val="left"/>
      <w:pPr>
        <w:ind w:left="420" w:hanging="420"/>
      </w:pPr>
      <w:rPr>
        <w:rFonts w:hint="default" w:ascii="Wingdings" w:hAnsi="Wingdings"/>
      </w:rPr>
    </w:lvl>
  </w:abstractNum>
  <w:abstractNum w:abstractNumId="12">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3">
    <w:nsid w:val="04BF98CE"/>
    <w:multiLevelType w:val="singleLevel"/>
    <w:tmpl w:val="04BF98CE"/>
    <w:lvl w:ilvl="0" w:tentative="0">
      <w:start w:val="1"/>
      <w:numFmt w:val="decimal"/>
      <w:suff w:val="nothing"/>
      <w:lvlText w:val="%1、"/>
      <w:lvlJc w:val="left"/>
    </w:lvl>
  </w:abstractNum>
  <w:abstractNum w:abstractNumId="14">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5">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6">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7">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8">
    <w:nsid w:val="3CF6EF77"/>
    <w:multiLevelType w:val="singleLevel"/>
    <w:tmpl w:val="3CF6EF77"/>
    <w:lvl w:ilvl="0" w:tentative="0">
      <w:start w:val="1"/>
      <w:numFmt w:val="decimal"/>
      <w:lvlText w:val="%1."/>
      <w:lvlJc w:val="left"/>
      <w:pPr>
        <w:ind w:left="425" w:hanging="425"/>
      </w:pPr>
      <w:rPr>
        <w:rFonts w:hint="default"/>
      </w:r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0"/>
  </w:num>
  <w:num w:numId="2">
    <w:abstractNumId w:val="25"/>
  </w:num>
  <w:num w:numId="3">
    <w:abstractNumId w:val="23"/>
  </w:num>
  <w:num w:numId="4">
    <w:abstractNumId w:val="21"/>
  </w:num>
  <w:num w:numId="5">
    <w:abstractNumId w:val="14"/>
  </w:num>
  <w:num w:numId="6">
    <w:abstractNumId w:val="16"/>
  </w:num>
  <w:num w:numId="7">
    <w:abstractNumId w:val="17"/>
  </w:num>
  <w:num w:numId="8">
    <w:abstractNumId w:val="2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5"/>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5"/>
  </w:num>
  <w:num w:numId="15">
    <w:abstractNumId w:val="0"/>
  </w:num>
  <w:num w:numId="16">
    <w:abstractNumId w:val="3"/>
  </w:num>
  <w:num w:numId="17">
    <w:abstractNumId w:val="24"/>
  </w:num>
  <w:num w:numId="18">
    <w:abstractNumId w:val="26"/>
  </w:num>
  <w:num w:numId="19">
    <w:abstractNumId w:val="9"/>
  </w:num>
  <w:num w:numId="20">
    <w:abstractNumId w:val="8"/>
  </w:num>
  <w:num w:numId="21">
    <w:abstractNumId w:val="4"/>
  </w:num>
  <w:num w:numId="22">
    <w:abstractNumId w:val="1"/>
  </w:num>
  <w:num w:numId="23">
    <w:abstractNumId w:val="6"/>
  </w:num>
  <w:num w:numId="24">
    <w:abstractNumId w:val="12"/>
  </w:num>
  <w:num w:numId="25">
    <w:abstractNumId w:val="10"/>
  </w:num>
  <w:num w:numId="26">
    <w:abstractNumId w:val="19"/>
  </w:num>
  <w:num w:numId="27">
    <w:abstractNumId w:val="13"/>
  </w:num>
  <w:num w:numId="28">
    <w:abstractNumId w:val="18"/>
  </w:num>
  <w:num w:numId="29">
    <w:abstractNumId w:val="11"/>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E4D31E3"/>
    <w:rsid w:val="10DC2AA3"/>
    <w:rsid w:val="10FA7C8C"/>
    <w:rsid w:val="130B198F"/>
    <w:rsid w:val="166143B7"/>
    <w:rsid w:val="16A918E4"/>
    <w:rsid w:val="17D966D6"/>
    <w:rsid w:val="1BC71D3B"/>
    <w:rsid w:val="1C59115B"/>
    <w:rsid w:val="1FB23E60"/>
    <w:rsid w:val="20371AE7"/>
    <w:rsid w:val="205C7167"/>
    <w:rsid w:val="22C5630B"/>
    <w:rsid w:val="23EC0BA6"/>
    <w:rsid w:val="24701A48"/>
    <w:rsid w:val="268B0052"/>
    <w:rsid w:val="27743C90"/>
    <w:rsid w:val="29CA2459"/>
    <w:rsid w:val="2B271A58"/>
    <w:rsid w:val="2B6304A7"/>
    <w:rsid w:val="2CF6734C"/>
    <w:rsid w:val="2D663463"/>
    <w:rsid w:val="2EF96EE4"/>
    <w:rsid w:val="36254FE4"/>
    <w:rsid w:val="371F66C1"/>
    <w:rsid w:val="372F61E0"/>
    <w:rsid w:val="39322FCA"/>
    <w:rsid w:val="3AB90991"/>
    <w:rsid w:val="3B0C280B"/>
    <w:rsid w:val="3B706131"/>
    <w:rsid w:val="3DB613F0"/>
    <w:rsid w:val="3E6F041E"/>
    <w:rsid w:val="4275481E"/>
    <w:rsid w:val="428B617A"/>
    <w:rsid w:val="433D7BDC"/>
    <w:rsid w:val="437E1813"/>
    <w:rsid w:val="45BD47FC"/>
    <w:rsid w:val="45CC5FB2"/>
    <w:rsid w:val="46B75BA8"/>
    <w:rsid w:val="476B4739"/>
    <w:rsid w:val="48C97955"/>
    <w:rsid w:val="49880C8F"/>
    <w:rsid w:val="49FA5194"/>
    <w:rsid w:val="4A8835F7"/>
    <w:rsid w:val="4B592E71"/>
    <w:rsid w:val="52274B10"/>
    <w:rsid w:val="52B9239A"/>
    <w:rsid w:val="52E465EE"/>
    <w:rsid w:val="54BD78FD"/>
    <w:rsid w:val="58A86DDE"/>
    <w:rsid w:val="59154AD7"/>
    <w:rsid w:val="5ADF548D"/>
    <w:rsid w:val="5D5C60B4"/>
    <w:rsid w:val="63F04A69"/>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6C34768"/>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3"/>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0"/>
    <w:qFormat/>
    <w:uiPriority w:val="0"/>
    <w:rPr>
      <w:rFonts w:ascii="宋体" w:hAnsi="Courier New"/>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w:basedOn w:val="1"/>
    <w:link w:val="41"/>
    <w:semiHidden/>
    <w:qFormat/>
    <w:uiPriority w:val="98"/>
    <w:rPr>
      <w:rFonts w:ascii="仿宋_GB2312" w:eastAsia="仿宋_GB2312"/>
      <w:sz w:val="32"/>
    </w:rPr>
  </w:style>
  <w:style w:type="paragraph" w:styleId="13">
    <w:name w:val="Body Text Indent"/>
    <w:basedOn w:val="1"/>
    <w:link w:val="48"/>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3"/>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2"/>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2"/>
    <w:qFormat/>
    <w:uiPriority w:val="0"/>
    <w:pPr>
      <w:spacing w:line="360" w:lineRule="auto"/>
      <w:jc w:val="center"/>
      <w:outlineLvl w:val="0"/>
    </w:pPr>
    <w:rPr>
      <w:rFonts w:ascii="黑体" w:eastAsia="黑体"/>
      <w:b/>
      <w:bCs/>
      <w:sz w:val="36"/>
      <w:szCs w:val="36"/>
    </w:rPr>
  </w:style>
  <w:style w:type="paragraph" w:customStyle="1" w:styleId="72">
    <w:name w:val="一级标题"/>
    <w:basedOn w:val="2"/>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2"/>
    <w:qFormat/>
    <w:uiPriority w:val="2"/>
    <w:pPr>
      <w:numPr>
        <w:ilvl w:val="0"/>
        <w:numId w:val="3"/>
      </w:numPr>
      <w:spacing w:line="360" w:lineRule="auto"/>
      <w:outlineLvl w:val="2"/>
    </w:pPr>
    <w:rPr>
      <w:b/>
    </w:rPr>
  </w:style>
  <w:style w:type="paragraph" w:customStyle="1" w:styleId="74">
    <w:name w:val="3级标题"/>
    <w:basedOn w:val="2"/>
    <w:link w:val="102"/>
    <w:qFormat/>
    <w:uiPriority w:val="3"/>
    <w:pPr>
      <w:numPr>
        <w:ilvl w:val="0"/>
        <w:numId w:val="4"/>
      </w:numPr>
      <w:spacing w:line="360" w:lineRule="auto"/>
      <w:outlineLvl w:val="3"/>
    </w:pPr>
    <w:rPr>
      <w:b/>
    </w:rPr>
  </w:style>
  <w:style w:type="paragraph" w:customStyle="1" w:styleId="75">
    <w:name w:val="（4）级标题"/>
    <w:basedOn w:val="2"/>
    <w:qFormat/>
    <w:uiPriority w:val="8"/>
    <w:pPr>
      <w:numPr>
        <w:ilvl w:val="0"/>
        <w:numId w:val="5"/>
      </w:numPr>
      <w:spacing w:line="360" w:lineRule="auto"/>
      <w:outlineLvl w:val="4"/>
    </w:pPr>
  </w:style>
  <w:style w:type="paragraph" w:customStyle="1" w:styleId="76">
    <w:name w:val="标书正文"/>
    <w:basedOn w:val="2"/>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27</Pages>
  <Words>9889</Words>
  <Characters>10385</Characters>
  <Lines>127</Lines>
  <Paragraphs>35</Paragraphs>
  <TotalTime>0</TotalTime>
  <ScaleCrop>false</ScaleCrop>
  <LinksUpToDate>false</LinksUpToDate>
  <CharactersWithSpaces>11030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2025-11-25T09:03:39Z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2479B77B15E84673A6130B76E5010D87_13</vt:lpwstr>
  </property>
  <property fmtid="{D5CDD505-2E9C-101B-9397-08002B2CF9AE}" pid="4" name="KSOTemplateDocerSaveRecord">
    <vt:lpwstr>eyJoZGlkIjoiNGVmYjYwMTVkYTcwNzlmYzkyYzZmMzIwZTI3ZGZlNjgiLCJ1c2VySWQiOiIxMDYzNzE1ODkzIn0=</vt:lpwstr>
  </property>
</Properties>
</file>