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2026年车架一部电泳线项目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FSCZB2025110138</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人：中国重汽集团济南卡车股份有限公司制造公司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2026年车架一部电泳线项目招标公告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2026年车架一部电泳线项目</w:t>
      </w:r>
    </w:p>
    <w:p w14:paraId="15020D03">
      <w:pPr>
        <w:pStyle w:val="73"/>
      </w:pPr>
      <w:r>
        <w:rPr>
          <w:rFonts w:hint="eastAsia"/>
        </w:rPr>
        <w:t>项目编号：</w:t>
      </w:r>
      <w:r>
        <w:rPr>
          <w:rFonts w:hint="eastAsia"/>
          <w:highlight w:val="yellow"/>
        </w:rPr>
        <w:t xml:space="preserve"> FSCZB2025110138</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2026年车架一部电泳线项目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1</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11</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5F538BD8">
      <w:pPr>
        <w:pStyle w:val="72"/>
        <w:numPr>
          <w:ilvl w:val="0"/>
          <w:numId w:val="0"/>
        </w:numPr>
        <w:ind w:leftChars="0" w:firstLine="422" w:firstLineChars="200"/>
        <w:rPr>
          <w:rFonts w:hint="eastAsia" w:eastAsia="宋体"/>
          <w:lang w:eastAsia="zh-CN"/>
        </w:rPr>
      </w:pPr>
      <w:r>
        <w:rPr>
          <w:rFonts w:hint="eastAsia" w:ascii="宋体" w:hAnsi="宋体" w:eastAsia="宋体" w:cs="宋体"/>
          <w:b/>
          <w:bCs/>
          <w:sz w:val="21"/>
          <w:szCs w:val="21"/>
        </w:rPr>
        <w:t>邮箱：yangshuqing1@sinotruk.com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13</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2026年车架一部电泳线项目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FSCZB2025110138</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p>
    <w:p w14:paraId="54D7F2A2">
      <w:pPr>
        <w:pStyle w:val="76"/>
        <w:numPr>
          <w:ilvl w:val="0"/>
          <w:numId w:val="0"/>
        </w:numPr>
        <w:ind w:leftChars="0" w:firstLine="420" w:firstLineChars="200"/>
        <w:rPr>
          <w:rFonts w:hint="eastAsia"/>
        </w:rPr>
      </w:pPr>
      <w:r>
        <w:rPr>
          <w:rFonts w:hint="eastAsia"/>
        </w:rPr>
        <w:t>1、纵梁电泳线</w:t>
      </w:r>
    </w:p>
    <w:p w14:paraId="308FA044">
      <w:pPr>
        <w:pStyle w:val="76"/>
        <w:numPr>
          <w:ilvl w:val="0"/>
          <w:numId w:val="0"/>
        </w:numPr>
        <w:ind w:leftChars="0" w:firstLine="420" w:firstLineChars="200"/>
        <w:rPr>
          <w:rFonts w:hint="eastAsia"/>
        </w:rPr>
      </w:pPr>
      <w:r>
        <w:rPr>
          <w:rFonts w:hint="eastAsia"/>
        </w:rPr>
        <w:t>纵梁电泳线目前已经正式运行，该电泳线主要负责纵梁及副梁的涂装。</w:t>
      </w:r>
    </w:p>
    <w:p w14:paraId="4E0CB9BD">
      <w:pPr>
        <w:pStyle w:val="76"/>
        <w:numPr>
          <w:ilvl w:val="0"/>
          <w:numId w:val="0"/>
        </w:numPr>
        <w:ind w:leftChars="0" w:firstLine="420" w:firstLineChars="200"/>
        <w:rPr>
          <w:rFonts w:hint="eastAsia"/>
        </w:rPr>
      </w:pPr>
      <w:r>
        <w:rPr>
          <w:rFonts w:hint="eastAsia"/>
        </w:rPr>
        <w:t>1、设备清单： 1条悬链式电泳线、4台柔性吊、纵梁上线输送装置。</w:t>
      </w:r>
    </w:p>
    <w:p w14:paraId="16670A7A">
      <w:pPr>
        <w:pStyle w:val="76"/>
        <w:numPr>
          <w:ilvl w:val="0"/>
          <w:numId w:val="0"/>
        </w:numPr>
        <w:ind w:leftChars="0" w:firstLine="420" w:firstLineChars="200"/>
        <w:rPr>
          <w:rFonts w:hint="eastAsia"/>
        </w:rPr>
      </w:pPr>
      <w:r>
        <w:rPr>
          <w:rFonts w:hint="eastAsia"/>
        </w:rPr>
        <w:t>2、人员：单班定员13人，目前1.5班，后期根据产量变化灵活调整生产班次。</w:t>
      </w:r>
    </w:p>
    <w:p w14:paraId="50946B80">
      <w:pPr>
        <w:pStyle w:val="76"/>
        <w:numPr>
          <w:ilvl w:val="0"/>
          <w:numId w:val="0"/>
        </w:numPr>
        <w:ind w:leftChars="0" w:firstLine="420" w:firstLineChars="200"/>
        <w:rPr>
          <w:rFonts w:hint="eastAsia"/>
        </w:rPr>
      </w:pPr>
      <w:r>
        <w:rPr>
          <w:rFonts w:hint="eastAsia"/>
        </w:rPr>
        <w:t>3、产量：纵梁类215万m²</w:t>
      </w:r>
    </w:p>
    <w:p w14:paraId="4D445CE7">
      <w:pPr>
        <w:pStyle w:val="76"/>
        <w:numPr>
          <w:ilvl w:val="0"/>
          <w:numId w:val="0"/>
        </w:numPr>
        <w:ind w:leftChars="0" w:firstLine="420" w:firstLineChars="200"/>
        <w:rPr>
          <w:rFonts w:hint="eastAsia"/>
        </w:rPr>
      </w:pPr>
      <w:r>
        <w:rPr>
          <w:rFonts w:hint="eastAsia"/>
        </w:rPr>
        <w:t>4、标的物：纵梁及副梁，每年生产约1000个品种，纵梁类长度在6-12米，单件重量在0.1-0.4吨。</w:t>
      </w:r>
    </w:p>
    <w:p w14:paraId="627AB013">
      <w:pPr>
        <w:pStyle w:val="76"/>
        <w:numPr>
          <w:ilvl w:val="0"/>
          <w:numId w:val="0"/>
        </w:numPr>
        <w:ind w:leftChars="0" w:firstLine="420" w:firstLineChars="200"/>
        <w:rPr>
          <w:rFonts w:hint="eastAsia"/>
        </w:rPr>
      </w:pPr>
      <w:r>
        <w:rPr>
          <w:rFonts w:hint="eastAsia"/>
        </w:rPr>
        <w:t>5、运输距离：电泳下线后贴条码自动传输到高位仓库。</w:t>
      </w:r>
    </w:p>
    <w:p w14:paraId="20F45195">
      <w:pPr>
        <w:pStyle w:val="76"/>
        <w:numPr>
          <w:ilvl w:val="0"/>
          <w:numId w:val="0"/>
        </w:numPr>
        <w:ind w:leftChars="0" w:firstLine="420" w:firstLineChars="200"/>
        <w:rPr>
          <w:rFonts w:hint="eastAsia"/>
        </w:rPr>
      </w:pPr>
      <w:r>
        <w:rPr>
          <w:rFonts w:hint="eastAsia"/>
        </w:rPr>
        <w:t>2、横梁电泳线</w:t>
      </w:r>
    </w:p>
    <w:p w14:paraId="2851224E">
      <w:pPr>
        <w:pStyle w:val="76"/>
        <w:numPr>
          <w:ilvl w:val="0"/>
          <w:numId w:val="0"/>
        </w:numPr>
        <w:ind w:leftChars="0" w:firstLine="420" w:firstLineChars="200"/>
        <w:rPr>
          <w:rFonts w:hint="eastAsia"/>
        </w:rPr>
      </w:pPr>
      <w:r>
        <w:rPr>
          <w:rFonts w:hint="eastAsia"/>
        </w:rPr>
        <w:t>横梁电泳线已于2021年7月投产，该电泳线主要负责横梁总成、单件及底盘件的涂装， 以单件为主。</w:t>
      </w:r>
    </w:p>
    <w:p w14:paraId="42926C79">
      <w:pPr>
        <w:pStyle w:val="76"/>
        <w:numPr>
          <w:ilvl w:val="0"/>
          <w:numId w:val="0"/>
        </w:numPr>
        <w:ind w:leftChars="0" w:firstLine="420" w:firstLineChars="200"/>
        <w:rPr>
          <w:rFonts w:hint="eastAsia"/>
        </w:rPr>
      </w:pPr>
      <w:r>
        <w:rPr>
          <w:rFonts w:hint="eastAsia"/>
        </w:rPr>
        <w:t>1、设备清单： 1条电泳线、5台5吨行车、2吨牵引车及叉车若干台。</w:t>
      </w:r>
    </w:p>
    <w:p w14:paraId="093C4EF0">
      <w:pPr>
        <w:pStyle w:val="76"/>
        <w:numPr>
          <w:ilvl w:val="0"/>
          <w:numId w:val="0"/>
        </w:numPr>
        <w:ind w:leftChars="0" w:firstLine="420" w:firstLineChars="200"/>
        <w:rPr>
          <w:rFonts w:hint="eastAsia"/>
        </w:rPr>
      </w:pPr>
      <w:r>
        <w:rPr>
          <w:rFonts w:hint="eastAsia"/>
        </w:rPr>
        <w:t>2、人员：单班定员52人，目前双班制，后期根据产量变化灵活调整生产班次。</w:t>
      </w:r>
    </w:p>
    <w:p w14:paraId="14114ECC">
      <w:pPr>
        <w:pStyle w:val="76"/>
        <w:numPr>
          <w:ilvl w:val="0"/>
          <w:numId w:val="0"/>
        </w:numPr>
        <w:ind w:leftChars="0" w:firstLine="420" w:firstLineChars="200"/>
        <w:rPr>
          <w:rFonts w:hint="eastAsia"/>
        </w:rPr>
      </w:pPr>
      <w:r>
        <w:rPr>
          <w:rFonts w:hint="eastAsia"/>
        </w:rPr>
        <w:t>3、产量：横梁类183万m²</w:t>
      </w:r>
    </w:p>
    <w:p w14:paraId="48CA75DE">
      <w:pPr>
        <w:pStyle w:val="76"/>
        <w:numPr>
          <w:ilvl w:val="0"/>
          <w:numId w:val="0"/>
        </w:numPr>
        <w:ind w:leftChars="0" w:firstLine="420" w:firstLineChars="200"/>
        <w:rPr>
          <w:rFonts w:hint="eastAsia"/>
        </w:rPr>
      </w:pPr>
      <w:r>
        <w:rPr>
          <w:rFonts w:hint="eastAsia"/>
        </w:rPr>
        <w:t>4、标的物：横梁总成类单件，每年生产约2000个品种，单件重量在5-200公斤。</w:t>
      </w:r>
    </w:p>
    <w:p w14:paraId="7AA90D07">
      <w:pPr>
        <w:pStyle w:val="76"/>
        <w:numPr>
          <w:ilvl w:val="0"/>
          <w:numId w:val="0"/>
        </w:numPr>
        <w:ind w:leftChars="0" w:firstLine="420" w:firstLineChars="200"/>
      </w:pPr>
      <w:r>
        <w:rPr>
          <w:rFonts w:hint="eastAsia"/>
        </w:rPr>
        <w:t>5、运输距离：电泳下线后将产品件摆放到工位器具，利用2吨牵引车及叉车将产品件转运到横梁总成分装区域。</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4EFA65A0">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中国重汽集团济南卡车股份有限公司制造公司</w:t>
      </w:r>
    </w:p>
    <w:p w14:paraId="32F7838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2A6BD6D8">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15807857">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E42AE41">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杨淑清</w:t>
      </w:r>
    </w:p>
    <w:p w14:paraId="4CFDF30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电话：13210630938</w:t>
      </w:r>
    </w:p>
    <w:p w14:paraId="1170F7C7">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邮箱：yangshuqing1@sinotruk.com</w:t>
      </w:r>
    </w:p>
    <w:bookmarkEnd w:id="9"/>
    <w:p w14:paraId="50DC6C75">
      <w:pPr>
        <w:pStyle w:val="72"/>
      </w:pPr>
      <w:bookmarkStart w:id="10" w:name="_Toc47976598"/>
      <w:r>
        <w:rPr>
          <w:rFonts w:hint="eastAsia"/>
        </w:rPr>
        <w:t>合格的投标人。</w:t>
      </w:r>
      <w:bookmarkEnd w:id="10"/>
    </w:p>
    <w:p w14:paraId="32572B6E">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1、营业执照必须具有相关业务资质；投标人须具有履行合同所必须的财务、技术质量、服务等方面的资质和能力；</w:t>
      </w:r>
    </w:p>
    <w:p w14:paraId="2D38351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2、公司注册资本不少于500万元（人民币），注册时间3年以上，以投标之日计算；</w:t>
      </w:r>
    </w:p>
    <w:p w14:paraId="7E5CAF33">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3、必须具有三年以上的相关底盘件喷漆工作经历和成功的类似工程案例；</w:t>
      </w:r>
    </w:p>
    <w:p w14:paraId="5AAAF9D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4、具备良好的环保设施管理经验，确保环保设施稳定有效运行，VOCS排放稳定达标。</w:t>
      </w:r>
    </w:p>
    <w:p w14:paraId="7DD6E29E">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5、在社会上和重汽集团内的其它招标过程中没有不良行为记录</w:t>
      </w:r>
    </w:p>
    <w:p w14:paraId="6AC70E9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6、投标人必须是最终投标、签订合同的单位，不得以任何理由将已中标项目以任何形式转包给其他单位；</w:t>
      </w:r>
    </w:p>
    <w:p w14:paraId="7F83BC29">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7、具有健全的财务会计制度，财务状况和市场行为良好。没有处于被有权机关吊销营业执照、吊销资质、停业整顿、取消投标资格以及财产被接管、冻结或进入破产程序等。</w:t>
      </w:r>
    </w:p>
    <w:p w14:paraId="47F44E3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8、法律法规对合格投标人的其它要求、规定；</w:t>
      </w:r>
    </w:p>
    <w:p w14:paraId="6E8D95AC">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9、不接受联合体投标。</w:t>
      </w:r>
    </w:p>
    <w:p w14:paraId="60216CB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10、满足技术、质量、资金等要求，财务状况良好、经营稳定，具有全面履约的能力，能提供相关信用等级和完税证明；</w:t>
      </w:r>
    </w:p>
    <w:p w14:paraId="2CBC9807">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11、投标方之间必须具有充分的竞争关系；</w:t>
      </w:r>
    </w:p>
    <w:p w14:paraId="4E8BBF7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12、在“国家企业信用信息公示系统”、“中国执行信息公开网”、“信用中国”、“天眼查”“裁判文书网”等信息平台中，无与招标项目有关的重大行政处罚及失信记录等信息；</w:t>
      </w:r>
    </w:p>
    <w:p w14:paraId="2CC70C63">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13、无招标违规、谎报年度报告信息、提供虚假资质资料等行为或其他与招标项目有关的重大行政处罚记录；</w:t>
      </w:r>
    </w:p>
    <w:p w14:paraId="572C964E">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14、没有被重汽集团列入黑名单；</w:t>
      </w:r>
    </w:p>
    <w:p w14:paraId="05B2AE5D">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15、投标方的直接或间接股东、法定代表人、董事、监事、高管非重汽员工及其亲属。</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21</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40F98EBB">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bookmarkStart w:id="33" w:name="_GoBack"/>
      <w:bookmarkEnd w:id="33"/>
      <w:r>
        <w:rPr>
          <w:rFonts w:hint="eastAsia" w:hAnsi="宋体" w:cs="宋体"/>
          <w:sz w:val="24"/>
          <w:szCs w:val="24"/>
          <w:highlight w:val="yellow"/>
          <w:lang w:val="en-US" w:eastAsia="zh-CN"/>
        </w:rPr>
        <w:t>1</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r>
        <w:rPr>
          <w:rFonts w:hint="eastAsia" w:cs="Times New Roman"/>
          <w:b w:val="0"/>
          <w:bCs/>
          <w:highlight w:val="yellow"/>
          <w:lang w:eastAsia="zh-CN"/>
        </w:rPr>
        <w:t>（</w:t>
      </w:r>
      <w:r>
        <w:rPr>
          <w:rFonts w:hint="eastAsia" w:cs="Times New Roman"/>
          <w:b w:val="0"/>
          <w:bCs/>
          <w:highlight w:val="yellow"/>
          <w:lang w:val="en-US" w:eastAsia="zh-CN"/>
        </w:rPr>
        <w:t>无附件的请与技术联系人商议拟定，或供应商自行拟定）</w:t>
      </w:r>
      <w:r>
        <w:rPr>
          <w:rFonts w:hint="eastAsia" w:cs="Times New Roman"/>
          <w:b w:val="0"/>
          <w:bCs/>
          <w:highlight w:val="yellow"/>
        </w:rPr>
        <w:t>：</w:t>
      </w:r>
    </w:p>
    <w:p w14:paraId="7CB8DE54">
      <w:pPr>
        <w:pStyle w:val="75"/>
        <w:numPr>
          <w:ilvl w:val="0"/>
          <w:numId w:val="19"/>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19"/>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19"/>
        </w:numPr>
        <w:ind w:left="425" w:leftChars="0" w:hanging="425" w:firstLineChars="0"/>
        <w:rPr>
          <w:b w:val="0"/>
          <w:bCs/>
          <w:highlight w:val="yellow"/>
        </w:rPr>
      </w:pPr>
      <w:r>
        <w:rPr>
          <w:rFonts w:hint="eastAsia"/>
          <w:b w:val="0"/>
          <w:bCs/>
          <w:highlight w:val="yellow"/>
        </w:rPr>
        <w:t>技术规格偏离表；</w:t>
      </w:r>
    </w:p>
    <w:p w14:paraId="49DACE03">
      <w:pPr>
        <w:pStyle w:val="74"/>
        <w:numPr>
          <w:ilvl w:val="0"/>
          <w:numId w:val="0"/>
        </w:numPr>
        <w:ind w:leftChars="0" w:firstLine="420" w:firstLineChars="200"/>
        <w:rPr>
          <w:rFonts w:hint="eastAsia" w:cs="Times New Roman"/>
          <w:b w:val="0"/>
          <w:bCs/>
          <w:highlight w:val="none"/>
          <w:lang w:val="en-US" w:eastAsia="zh-CN"/>
        </w:rPr>
      </w:pPr>
      <w:r>
        <w:rPr>
          <w:rFonts w:hint="eastAsia" w:cs="Times New Roman"/>
          <w:b w:val="0"/>
          <w:bCs/>
          <w:highlight w:val="none"/>
          <w:lang w:val="en-US" w:eastAsia="zh-CN"/>
        </w:rPr>
        <w:t>1、投标方可以根据自身的技术、经验等优势以及对本技术规范书和招标文件的理解，写明投标方应进行的优于本技术规范书和招标文件要求的其它方案或建议意见；投标方的这些努力，委托方表示感谢，并将有助于投标方优先胜出；</w:t>
      </w:r>
    </w:p>
    <w:p w14:paraId="41C710F4">
      <w:pPr>
        <w:pStyle w:val="74"/>
        <w:numPr>
          <w:ilvl w:val="0"/>
          <w:numId w:val="0"/>
        </w:numPr>
        <w:ind w:leftChars="0" w:firstLine="420" w:firstLineChars="200"/>
        <w:rPr>
          <w:rFonts w:hint="eastAsia" w:cs="Times New Roman"/>
          <w:b w:val="0"/>
          <w:bCs/>
          <w:highlight w:val="none"/>
        </w:rPr>
      </w:pPr>
      <w:r>
        <w:rPr>
          <w:rFonts w:hint="eastAsia" w:cs="Times New Roman"/>
          <w:b w:val="0"/>
          <w:bCs/>
          <w:highlight w:val="none"/>
          <w:lang w:val="en-US" w:eastAsia="zh-CN"/>
        </w:rPr>
        <w:t>2、即使有建议意见或建议方案，仍应依据本技术规范书和招标文件要求，编写符合要求的投标文件。建议方案或建议意见，应以单独篇章或文件，予以说明。</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1556.01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4332168E">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投标技术文件至少应对招标项目的“商务偏离”做出有无说明，若有，应予以详细填写和说明；</w:t>
      </w:r>
    </w:p>
    <w:p w14:paraId="1C220CF3">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提交证明投标人是合格且中标后有能力履行合同的资格证明文件；证明投标人所提供的货物及/或服务的合格性和符合招标文件规定的文件。</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1"/>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1"/>
        </w:numPr>
        <w:rPr>
          <w:bCs/>
        </w:rPr>
      </w:pPr>
      <w:r>
        <w:rPr>
          <w:rFonts w:hint="eastAsia"/>
          <w:bCs/>
        </w:rPr>
        <w:t>联系人及联系方式：郭朝琛/</w:t>
      </w:r>
      <w:r>
        <w:rPr>
          <w:rFonts w:hint="eastAsia"/>
          <w:bCs/>
          <w:lang w:val="en-US" w:eastAsia="zh-CN"/>
        </w:rPr>
        <w:t>17860606311</w:t>
      </w:r>
    </w:p>
    <w:p w14:paraId="22A63924">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11</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20万</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开户名称：中国重汽集团济南卡车股份有限公司</w:t>
      </w:r>
      <w:r>
        <w:rPr>
          <w:rFonts w:ascii="宋体" w:hAnsi="宋体" w:eastAsia="宋体" w:cs="宋体"/>
          <w:sz w:val="24"/>
          <w:szCs w:val="24"/>
        </w:rPr>
        <w:br w:type="textWrapping"/>
      </w:r>
      <w:r>
        <w:rPr>
          <w:rFonts w:ascii="宋体" w:hAnsi="宋体" w:eastAsia="宋体" w:cs="宋体"/>
          <w:sz w:val="24"/>
          <w:szCs w:val="24"/>
        </w:rPr>
        <w:t>开户银行：招商银行股份有限公司济南分行营业部</w:t>
      </w:r>
      <w:r>
        <w:rPr>
          <w:rFonts w:ascii="宋体" w:hAnsi="宋体" w:eastAsia="宋体" w:cs="宋体"/>
          <w:sz w:val="24"/>
          <w:szCs w:val="24"/>
        </w:rPr>
        <w:br w:type="textWrapping"/>
      </w:r>
      <w:r>
        <w:rPr>
          <w:rFonts w:ascii="宋体" w:hAnsi="宋体" w:eastAsia="宋体" w:cs="宋体"/>
          <w:sz w:val="24"/>
          <w:szCs w:val="24"/>
        </w:rPr>
        <w:t>银行帐号：531900051810601</w:t>
      </w:r>
      <w:r>
        <w:rPr>
          <w:rFonts w:ascii="宋体" w:hAnsi="宋体" w:eastAsia="宋体" w:cs="宋体"/>
          <w:sz w:val="24"/>
          <w:szCs w:val="24"/>
        </w:rPr>
        <w:br w:type="textWrapping"/>
      </w:r>
      <w:r>
        <w:rPr>
          <w:rFonts w:ascii="宋体" w:hAnsi="宋体" w:eastAsia="宋体" w:cs="宋体"/>
          <w:sz w:val="24"/>
          <w:szCs w:val="24"/>
        </w:rPr>
        <w:t>财务电话：0531-58067031</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34AEADA0">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2025年12月11日9：00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开标时间：2025年12月11日9:00:00</w:t>
      </w:r>
    </w:p>
    <w:p w14:paraId="0F181985">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69021D9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7AAB2D7F">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yellow"/>
          <w:lang w:val="en-US" w:eastAsia="zh-CN"/>
        </w:rPr>
      </w:pPr>
    </w:p>
    <w:p w14:paraId="31F57A77">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yellow"/>
          <w:lang w:val="en-US" w:eastAsia="zh-CN"/>
        </w:rPr>
      </w:pPr>
    </w:p>
    <w:tbl>
      <w:tblPr>
        <w:tblStyle w:val="30"/>
        <w:tblpPr w:leftFromText="180" w:rightFromText="180" w:vertAnchor="page" w:horzAnchor="page" w:tblpX="790" w:tblpY="2001"/>
        <w:tblOverlap w:val="never"/>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31"/>
        <w:gridCol w:w="1134"/>
        <w:gridCol w:w="1134"/>
        <w:gridCol w:w="5406"/>
        <w:gridCol w:w="1276"/>
      </w:tblGrid>
      <w:tr w14:paraId="2E11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846" w:type="dxa"/>
            <w:vAlign w:val="center"/>
          </w:tcPr>
          <w:p w14:paraId="5C63A5F0">
            <w:pPr>
              <w:jc w:val="center"/>
              <w:rPr>
                <w:rFonts w:hint="eastAsia" w:ascii="宋体" w:hAnsi="宋体"/>
                <w:b/>
                <w:bCs/>
                <w:szCs w:val="21"/>
              </w:rPr>
            </w:pPr>
            <w:r>
              <w:rPr>
                <w:rFonts w:hint="eastAsia" w:ascii="宋体" w:hAnsi="宋体"/>
                <w:b/>
                <w:bCs/>
                <w:szCs w:val="21"/>
              </w:rPr>
              <w:t>评标因素</w:t>
            </w:r>
          </w:p>
        </w:tc>
        <w:tc>
          <w:tcPr>
            <w:tcW w:w="831" w:type="dxa"/>
            <w:vAlign w:val="center"/>
          </w:tcPr>
          <w:p w14:paraId="75E1BE0D">
            <w:pPr>
              <w:jc w:val="center"/>
              <w:rPr>
                <w:rFonts w:hint="eastAsia" w:ascii="宋体" w:hAnsi="宋体"/>
                <w:b/>
                <w:bCs/>
                <w:szCs w:val="21"/>
              </w:rPr>
            </w:pPr>
            <w:r>
              <w:rPr>
                <w:rFonts w:hint="eastAsia" w:ascii="宋体" w:hAnsi="宋体"/>
                <w:b/>
                <w:bCs/>
                <w:szCs w:val="21"/>
              </w:rPr>
              <w:t>总分</w:t>
            </w:r>
          </w:p>
        </w:tc>
        <w:tc>
          <w:tcPr>
            <w:tcW w:w="2268" w:type="dxa"/>
            <w:gridSpan w:val="2"/>
            <w:vAlign w:val="center"/>
          </w:tcPr>
          <w:p w14:paraId="7044FF11">
            <w:pPr>
              <w:jc w:val="center"/>
              <w:rPr>
                <w:rFonts w:hint="eastAsia" w:ascii="宋体" w:hAnsi="宋体"/>
                <w:b/>
                <w:bCs/>
                <w:szCs w:val="21"/>
              </w:rPr>
            </w:pPr>
            <w:r>
              <w:rPr>
                <w:rFonts w:hint="eastAsia" w:ascii="宋体" w:hAnsi="宋体"/>
                <w:b/>
                <w:bCs/>
                <w:szCs w:val="21"/>
              </w:rPr>
              <w:t>评审内容</w:t>
            </w:r>
          </w:p>
        </w:tc>
        <w:tc>
          <w:tcPr>
            <w:tcW w:w="5406" w:type="dxa"/>
            <w:vAlign w:val="center"/>
          </w:tcPr>
          <w:p w14:paraId="21FA233E">
            <w:pPr>
              <w:jc w:val="center"/>
              <w:rPr>
                <w:rFonts w:hint="eastAsia" w:ascii="宋体" w:hAnsi="宋体"/>
                <w:b/>
                <w:bCs/>
                <w:szCs w:val="21"/>
              </w:rPr>
            </w:pPr>
            <w:r>
              <w:rPr>
                <w:rFonts w:hint="eastAsia" w:ascii="宋体" w:hAnsi="宋体"/>
                <w:b/>
                <w:bCs/>
                <w:szCs w:val="21"/>
              </w:rPr>
              <w:t>评分标准</w:t>
            </w:r>
          </w:p>
        </w:tc>
        <w:tc>
          <w:tcPr>
            <w:tcW w:w="1276" w:type="dxa"/>
            <w:vAlign w:val="center"/>
          </w:tcPr>
          <w:p w14:paraId="1426C2F0">
            <w:pPr>
              <w:jc w:val="center"/>
              <w:rPr>
                <w:rFonts w:hint="eastAsia" w:ascii="宋体" w:hAnsi="宋体"/>
                <w:b/>
                <w:bCs/>
                <w:szCs w:val="21"/>
              </w:rPr>
            </w:pPr>
            <w:r>
              <w:rPr>
                <w:rFonts w:hint="eastAsia" w:ascii="宋体" w:hAnsi="宋体"/>
                <w:b/>
                <w:bCs/>
                <w:szCs w:val="21"/>
              </w:rPr>
              <w:t>最高得分</w:t>
            </w:r>
          </w:p>
        </w:tc>
      </w:tr>
      <w:tr w14:paraId="0CC9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0627" w:type="dxa"/>
            <w:gridSpan w:val="6"/>
          </w:tcPr>
          <w:p w14:paraId="66029989">
            <w:pPr>
              <w:rPr>
                <w:rFonts w:hint="eastAsia" w:ascii="宋体" w:hAnsi="宋体"/>
                <w:b/>
                <w:bCs/>
                <w:szCs w:val="21"/>
              </w:rPr>
            </w:pPr>
            <w:r>
              <w:rPr>
                <w:rFonts w:hint="eastAsia" w:ascii="宋体" w:hAnsi="宋体"/>
                <w:b/>
                <w:bCs/>
                <w:szCs w:val="21"/>
              </w:rPr>
              <w:t>一、技术因素</w:t>
            </w:r>
          </w:p>
        </w:tc>
      </w:tr>
      <w:tr w14:paraId="126A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0627" w:type="dxa"/>
            <w:gridSpan w:val="6"/>
          </w:tcPr>
          <w:p w14:paraId="179D8E55">
            <w:pPr>
              <w:rPr>
                <w:rFonts w:hint="eastAsia" w:ascii="宋体" w:hAnsi="宋体"/>
                <w:szCs w:val="21"/>
              </w:rPr>
            </w:pPr>
            <w:r>
              <w:rPr>
                <w:rFonts w:hint="eastAsia" w:ascii="宋体" w:hAnsi="宋体"/>
                <w:szCs w:val="21"/>
              </w:rPr>
              <w:t>1、技术评分标准要量化，各项目权重合理。</w:t>
            </w:r>
          </w:p>
        </w:tc>
      </w:tr>
      <w:tr w14:paraId="7C5B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CBE51FA">
            <w:pPr>
              <w:rPr>
                <w:rFonts w:hint="eastAsia" w:ascii="宋体" w:hAnsi="宋体"/>
                <w:szCs w:val="21"/>
              </w:rPr>
            </w:pPr>
            <w:r>
              <w:rPr>
                <w:rFonts w:hint="eastAsia" w:ascii="宋体" w:hAnsi="宋体"/>
                <w:szCs w:val="21"/>
              </w:rPr>
              <w:t>依照技术方案、质量保障、服务及其他评价内容的优先次序，根据分项评价值进行排名。若上述排名皆相同的，则由全体评委成员无记名投票，得票高者排序在前。</w:t>
            </w:r>
          </w:p>
        </w:tc>
      </w:tr>
      <w:tr w14:paraId="152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0627" w:type="dxa"/>
            <w:gridSpan w:val="6"/>
          </w:tcPr>
          <w:p w14:paraId="63998FD2">
            <w:pPr>
              <w:rPr>
                <w:rFonts w:hint="eastAsia" w:ascii="宋体" w:hAnsi="宋体"/>
                <w:szCs w:val="21"/>
              </w:rPr>
            </w:pPr>
            <w:r>
              <w:rPr>
                <w:rFonts w:hint="eastAsia" w:ascii="宋体" w:hAnsi="宋体"/>
                <w:szCs w:val="21"/>
              </w:rPr>
              <w:t>2、评委打分不得超过得分界限。</w:t>
            </w:r>
          </w:p>
        </w:tc>
      </w:tr>
      <w:tr w14:paraId="21817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restart"/>
            <w:vAlign w:val="center"/>
          </w:tcPr>
          <w:p w14:paraId="51A412D9">
            <w:pPr>
              <w:jc w:val="center"/>
              <w:rPr>
                <w:rFonts w:hint="eastAsia" w:ascii="宋体" w:hAnsi="宋体" w:eastAsia="宋体"/>
                <w:szCs w:val="21"/>
              </w:rPr>
            </w:pPr>
            <w:r>
              <w:rPr>
                <w:rFonts w:hint="eastAsia" w:ascii="宋体" w:hAnsi="宋体"/>
                <w:szCs w:val="21"/>
              </w:rPr>
              <w:t>技术因素（30%）</w:t>
            </w:r>
          </w:p>
        </w:tc>
        <w:tc>
          <w:tcPr>
            <w:tcW w:w="831" w:type="dxa"/>
            <w:vMerge w:val="restart"/>
            <w:vAlign w:val="center"/>
          </w:tcPr>
          <w:p w14:paraId="1E73FB41">
            <w:pPr>
              <w:jc w:val="center"/>
              <w:rPr>
                <w:rFonts w:hint="eastAsia" w:ascii="宋体" w:hAnsi="宋体"/>
                <w:szCs w:val="21"/>
              </w:rPr>
            </w:pPr>
            <w:r>
              <w:rPr>
                <w:rFonts w:hint="eastAsia" w:ascii="宋体" w:hAnsi="宋体"/>
                <w:szCs w:val="21"/>
              </w:rPr>
              <w:t>100</w:t>
            </w:r>
          </w:p>
        </w:tc>
        <w:tc>
          <w:tcPr>
            <w:tcW w:w="1134" w:type="dxa"/>
            <w:vMerge w:val="restart"/>
            <w:vAlign w:val="center"/>
          </w:tcPr>
          <w:p w14:paraId="627AC015">
            <w:pPr>
              <w:jc w:val="center"/>
              <w:rPr>
                <w:rFonts w:hint="eastAsia" w:ascii="宋体" w:hAnsi="宋体"/>
                <w:szCs w:val="21"/>
              </w:rPr>
            </w:pPr>
            <w:r>
              <w:rPr>
                <w:rFonts w:hint="eastAsia" w:ascii="宋体" w:hAnsi="宋体"/>
                <w:szCs w:val="21"/>
              </w:rPr>
              <w:t>技术方案</w:t>
            </w:r>
          </w:p>
        </w:tc>
        <w:tc>
          <w:tcPr>
            <w:tcW w:w="1134" w:type="dxa"/>
            <w:vMerge w:val="restart"/>
            <w:vAlign w:val="center"/>
          </w:tcPr>
          <w:p w14:paraId="1A27CCCF">
            <w:pPr>
              <w:jc w:val="center"/>
              <w:rPr>
                <w:rFonts w:hint="eastAsia" w:ascii="宋体" w:hAnsi="宋体"/>
                <w:szCs w:val="21"/>
              </w:rPr>
            </w:pPr>
            <w:r>
              <w:rPr>
                <w:rFonts w:hint="eastAsia" w:ascii="宋体" w:hAnsi="宋体"/>
                <w:szCs w:val="21"/>
              </w:rPr>
              <w:t>技术方案</w:t>
            </w:r>
          </w:p>
        </w:tc>
        <w:tc>
          <w:tcPr>
            <w:tcW w:w="5406" w:type="dxa"/>
          </w:tcPr>
          <w:p w14:paraId="03E8D940">
            <w:pPr>
              <w:rPr>
                <w:rFonts w:hint="eastAsia" w:ascii="宋体" w:hAnsi="宋体"/>
                <w:szCs w:val="21"/>
              </w:rPr>
            </w:pPr>
            <w:r>
              <w:rPr>
                <w:rFonts w:hint="eastAsia" w:ascii="宋体" w:hAnsi="宋体"/>
                <w:szCs w:val="21"/>
              </w:rPr>
              <w:t>技术标偏离情况只允许出现优于（即正偏离）、符合标书约定技术要求。</w:t>
            </w:r>
          </w:p>
        </w:tc>
        <w:tc>
          <w:tcPr>
            <w:tcW w:w="1276" w:type="dxa"/>
            <w:vMerge w:val="restart"/>
            <w:vAlign w:val="center"/>
          </w:tcPr>
          <w:p w14:paraId="16E31AA2">
            <w:pPr>
              <w:jc w:val="center"/>
              <w:rPr>
                <w:rFonts w:hint="eastAsia" w:ascii="宋体" w:hAnsi="宋体"/>
                <w:szCs w:val="21"/>
              </w:rPr>
            </w:pPr>
            <w:r>
              <w:rPr>
                <w:rFonts w:hint="eastAsia" w:ascii="宋体" w:hAnsi="宋体"/>
                <w:szCs w:val="21"/>
              </w:rPr>
              <w:t>10</w:t>
            </w:r>
          </w:p>
        </w:tc>
      </w:tr>
      <w:tr w14:paraId="0AA3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7FA6A758">
            <w:pPr>
              <w:jc w:val="center"/>
              <w:rPr>
                <w:rFonts w:hint="eastAsia" w:ascii="宋体" w:hAnsi="宋体"/>
                <w:szCs w:val="21"/>
              </w:rPr>
            </w:pPr>
          </w:p>
        </w:tc>
        <w:tc>
          <w:tcPr>
            <w:tcW w:w="831" w:type="dxa"/>
            <w:vMerge w:val="continue"/>
            <w:vAlign w:val="center"/>
          </w:tcPr>
          <w:p w14:paraId="376EDC72">
            <w:pPr>
              <w:jc w:val="center"/>
              <w:rPr>
                <w:rFonts w:hint="eastAsia" w:ascii="宋体" w:hAnsi="宋体"/>
                <w:szCs w:val="21"/>
              </w:rPr>
            </w:pPr>
          </w:p>
        </w:tc>
        <w:tc>
          <w:tcPr>
            <w:tcW w:w="1134" w:type="dxa"/>
            <w:vMerge w:val="continue"/>
            <w:vAlign w:val="center"/>
          </w:tcPr>
          <w:p w14:paraId="330BD675">
            <w:pPr>
              <w:jc w:val="center"/>
              <w:rPr>
                <w:rFonts w:hint="eastAsia" w:ascii="宋体" w:hAnsi="宋体"/>
                <w:szCs w:val="21"/>
              </w:rPr>
            </w:pPr>
          </w:p>
        </w:tc>
        <w:tc>
          <w:tcPr>
            <w:tcW w:w="1134" w:type="dxa"/>
            <w:vMerge w:val="continue"/>
            <w:vAlign w:val="center"/>
          </w:tcPr>
          <w:p w14:paraId="682F268F">
            <w:pPr>
              <w:jc w:val="center"/>
              <w:rPr>
                <w:rFonts w:hint="eastAsia" w:ascii="宋体" w:hAnsi="宋体"/>
                <w:szCs w:val="21"/>
              </w:rPr>
            </w:pPr>
          </w:p>
        </w:tc>
        <w:tc>
          <w:tcPr>
            <w:tcW w:w="5406" w:type="dxa"/>
          </w:tcPr>
          <w:p w14:paraId="73E736E7">
            <w:pPr>
              <w:rPr>
                <w:rFonts w:hint="eastAsia" w:ascii="宋体" w:hAnsi="宋体"/>
                <w:szCs w:val="21"/>
              </w:rPr>
            </w:pPr>
            <w:r>
              <w:rPr>
                <w:rFonts w:hint="eastAsia" w:ascii="宋体" w:hAnsi="宋体"/>
                <w:szCs w:val="21"/>
              </w:rPr>
              <w:t>当所供技术服务优于招标文件要求，有具体可行性说明建议，得10分。完全满足标书要求，得8分。</w:t>
            </w:r>
          </w:p>
        </w:tc>
        <w:tc>
          <w:tcPr>
            <w:tcW w:w="1276" w:type="dxa"/>
            <w:vMerge w:val="continue"/>
            <w:vAlign w:val="center"/>
          </w:tcPr>
          <w:p w14:paraId="08323EE5">
            <w:pPr>
              <w:jc w:val="center"/>
              <w:rPr>
                <w:rFonts w:hint="eastAsia" w:ascii="宋体" w:hAnsi="宋体"/>
                <w:szCs w:val="21"/>
              </w:rPr>
            </w:pPr>
          </w:p>
        </w:tc>
      </w:tr>
      <w:tr w14:paraId="13D7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6" w:type="dxa"/>
            <w:vMerge w:val="continue"/>
            <w:vAlign w:val="center"/>
          </w:tcPr>
          <w:p w14:paraId="41F6F22B">
            <w:pPr>
              <w:jc w:val="center"/>
              <w:rPr>
                <w:rFonts w:hint="eastAsia" w:ascii="宋体" w:hAnsi="宋体"/>
                <w:szCs w:val="21"/>
              </w:rPr>
            </w:pPr>
          </w:p>
        </w:tc>
        <w:tc>
          <w:tcPr>
            <w:tcW w:w="831" w:type="dxa"/>
            <w:vMerge w:val="continue"/>
            <w:vAlign w:val="center"/>
          </w:tcPr>
          <w:p w14:paraId="39B537B5">
            <w:pPr>
              <w:jc w:val="center"/>
              <w:rPr>
                <w:rFonts w:hint="eastAsia" w:ascii="宋体" w:hAnsi="宋体"/>
                <w:szCs w:val="21"/>
              </w:rPr>
            </w:pPr>
          </w:p>
        </w:tc>
        <w:tc>
          <w:tcPr>
            <w:tcW w:w="1134" w:type="dxa"/>
            <w:vMerge w:val="continue"/>
            <w:vAlign w:val="center"/>
          </w:tcPr>
          <w:p w14:paraId="7826FDA8">
            <w:pPr>
              <w:jc w:val="center"/>
              <w:rPr>
                <w:rFonts w:hint="eastAsia" w:ascii="宋体" w:hAnsi="宋体"/>
                <w:szCs w:val="21"/>
              </w:rPr>
            </w:pPr>
          </w:p>
        </w:tc>
        <w:tc>
          <w:tcPr>
            <w:tcW w:w="1134" w:type="dxa"/>
            <w:vMerge w:val="restart"/>
            <w:vAlign w:val="center"/>
          </w:tcPr>
          <w:p w14:paraId="0ADE0D3F">
            <w:pPr>
              <w:jc w:val="center"/>
              <w:rPr>
                <w:rFonts w:hint="eastAsia" w:ascii="宋体" w:hAnsi="宋体"/>
                <w:szCs w:val="21"/>
              </w:rPr>
            </w:pPr>
            <w:r>
              <w:rPr>
                <w:rFonts w:hint="eastAsia" w:ascii="宋体" w:hAnsi="宋体"/>
                <w:szCs w:val="21"/>
              </w:rPr>
              <w:t>项目规划</w:t>
            </w:r>
          </w:p>
        </w:tc>
        <w:tc>
          <w:tcPr>
            <w:tcW w:w="5406" w:type="dxa"/>
          </w:tcPr>
          <w:p w14:paraId="03AEDD11">
            <w:pPr>
              <w:rPr>
                <w:rFonts w:hint="eastAsia" w:ascii="宋体" w:hAnsi="宋体" w:eastAsia="宋体"/>
                <w:szCs w:val="21"/>
              </w:rPr>
            </w:pPr>
            <w:r>
              <w:rPr>
                <w:rFonts w:hint="eastAsia" w:ascii="宋体" w:hAnsi="宋体"/>
                <w:szCs w:val="21"/>
              </w:rPr>
              <w:t>项目总体规划实施方案（人员规划、作业流程设计、管理制度支持等）流程合理、完善、切实可行，视情况得0-20。</w:t>
            </w:r>
          </w:p>
        </w:tc>
        <w:tc>
          <w:tcPr>
            <w:tcW w:w="1276" w:type="dxa"/>
            <w:vAlign w:val="center"/>
          </w:tcPr>
          <w:p w14:paraId="66638AF9">
            <w:pPr>
              <w:jc w:val="center"/>
              <w:rPr>
                <w:rFonts w:hint="eastAsia" w:ascii="宋体" w:hAnsi="宋体"/>
                <w:szCs w:val="21"/>
              </w:rPr>
            </w:pPr>
            <w:r>
              <w:rPr>
                <w:rFonts w:hint="eastAsia" w:ascii="宋体" w:hAnsi="宋体"/>
                <w:szCs w:val="21"/>
              </w:rPr>
              <w:t>20</w:t>
            </w:r>
          </w:p>
        </w:tc>
      </w:tr>
      <w:tr w14:paraId="02D8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6" w:type="dxa"/>
            <w:vMerge w:val="continue"/>
            <w:vAlign w:val="center"/>
          </w:tcPr>
          <w:p w14:paraId="47FDF59B">
            <w:pPr>
              <w:jc w:val="center"/>
              <w:rPr>
                <w:rFonts w:hint="eastAsia" w:ascii="宋体" w:hAnsi="宋体"/>
                <w:szCs w:val="21"/>
              </w:rPr>
            </w:pPr>
          </w:p>
        </w:tc>
        <w:tc>
          <w:tcPr>
            <w:tcW w:w="831" w:type="dxa"/>
            <w:vMerge w:val="continue"/>
            <w:vAlign w:val="center"/>
          </w:tcPr>
          <w:p w14:paraId="74C41525">
            <w:pPr>
              <w:jc w:val="center"/>
              <w:rPr>
                <w:rFonts w:hint="eastAsia" w:ascii="宋体" w:hAnsi="宋体"/>
                <w:szCs w:val="21"/>
              </w:rPr>
            </w:pPr>
          </w:p>
        </w:tc>
        <w:tc>
          <w:tcPr>
            <w:tcW w:w="1134" w:type="dxa"/>
            <w:vMerge w:val="continue"/>
            <w:vAlign w:val="center"/>
          </w:tcPr>
          <w:p w14:paraId="216C247B">
            <w:pPr>
              <w:jc w:val="center"/>
              <w:rPr>
                <w:rFonts w:hint="eastAsia" w:ascii="宋体" w:hAnsi="宋体"/>
                <w:szCs w:val="21"/>
              </w:rPr>
            </w:pPr>
          </w:p>
        </w:tc>
        <w:tc>
          <w:tcPr>
            <w:tcW w:w="1134" w:type="dxa"/>
            <w:vMerge w:val="continue"/>
            <w:vAlign w:val="center"/>
          </w:tcPr>
          <w:p w14:paraId="4CC035DC">
            <w:pPr>
              <w:jc w:val="center"/>
              <w:rPr>
                <w:rFonts w:hint="eastAsia" w:ascii="宋体" w:hAnsi="宋体"/>
                <w:szCs w:val="21"/>
              </w:rPr>
            </w:pPr>
          </w:p>
        </w:tc>
        <w:tc>
          <w:tcPr>
            <w:tcW w:w="5406" w:type="dxa"/>
          </w:tcPr>
          <w:p w14:paraId="04DF1516">
            <w:pPr>
              <w:rPr>
                <w:rFonts w:hint="eastAsia" w:ascii="宋体" w:hAnsi="宋体" w:eastAsia="宋体"/>
                <w:szCs w:val="21"/>
              </w:rPr>
            </w:pPr>
            <w:r>
              <w:rPr>
                <w:rFonts w:hint="eastAsia" w:ascii="宋体" w:hAnsi="宋体"/>
                <w:szCs w:val="21"/>
              </w:rPr>
              <w:t>目标及预计取得效果，视情况得</w:t>
            </w:r>
            <w:r>
              <w:rPr>
                <w:rFonts w:ascii="宋体" w:hAnsi="宋体"/>
                <w:szCs w:val="21"/>
              </w:rPr>
              <w:t>1-10</w:t>
            </w:r>
            <w:r>
              <w:rPr>
                <w:rFonts w:hint="eastAsia" w:ascii="宋体" w:hAnsi="宋体"/>
                <w:szCs w:val="21"/>
              </w:rPr>
              <w:t>。</w:t>
            </w:r>
          </w:p>
        </w:tc>
        <w:tc>
          <w:tcPr>
            <w:tcW w:w="1276" w:type="dxa"/>
            <w:vAlign w:val="center"/>
          </w:tcPr>
          <w:p w14:paraId="7D38B080">
            <w:pPr>
              <w:jc w:val="center"/>
              <w:rPr>
                <w:rFonts w:hint="eastAsia" w:ascii="宋体" w:hAnsi="宋体"/>
                <w:szCs w:val="21"/>
              </w:rPr>
            </w:pPr>
            <w:r>
              <w:rPr>
                <w:rFonts w:ascii="宋体" w:hAnsi="宋体"/>
                <w:szCs w:val="21"/>
              </w:rPr>
              <w:t>10</w:t>
            </w:r>
          </w:p>
        </w:tc>
      </w:tr>
      <w:tr w14:paraId="1855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46" w:type="dxa"/>
            <w:vMerge w:val="continue"/>
            <w:vAlign w:val="center"/>
          </w:tcPr>
          <w:p w14:paraId="3627A7B2">
            <w:pPr>
              <w:jc w:val="center"/>
              <w:rPr>
                <w:rFonts w:hint="eastAsia" w:ascii="宋体" w:hAnsi="宋体"/>
                <w:szCs w:val="21"/>
              </w:rPr>
            </w:pPr>
          </w:p>
        </w:tc>
        <w:tc>
          <w:tcPr>
            <w:tcW w:w="831" w:type="dxa"/>
            <w:vMerge w:val="continue"/>
            <w:vAlign w:val="center"/>
          </w:tcPr>
          <w:p w14:paraId="2A592957">
            <w:pPr>
              <w:jc w:val="center"/>
              <w:rPr>
                <w:rFonts w:hint="eastAsia" w:ascii="宋体" w:hAnsi="宋体"/>
                <w:szCs w:val="21"/>
              </w:rPr>
            </w:pPr>
          </w:p>
        </w:tc>
        <w:tc>
          <w:tcPr>
            <w:tcW w:w="1134" w:type="dxa"/>
            <w:vMerge w:val="continue"/>
            <w:vAlign w:val="center"/>
          </w:tcPr>
          <w:p w14:paraId="3993B8A3">
            <w:pPr>
              <w:jc w:val="center"/>
              <w:rPr>
                <w:rFonts w:hint="eastAsia" w:ascii="宋体" w:hAnsi="宋体"/>
                <w:szCs w:val="21"/>
              </w:rPr>
            </w:pPr>
          </w:p>
        </w:tc>
        <w:tc>
          <w:tcPr>
            <w:tcW w:w="1134" w:type="dxa"/>
            <w:vMerge w:val="continue"/>
            <w:vAlign w:val="center"/>
          </w:tcPr>
          <w:p w14:paraId="731F0A5F">
            <w:pPr>
              <w:jc w:val="center"/>
              <w:rPr>
                <w:rFonts w:hint="eastAsia" w:ascii="宋体" w:hAnsi="宋体"/>
                <w:szCs w:val="21"/>
              </w:rPr>
            </w:pPr>
          </w:p>
        </w:tc>
        <w:tc>
          <w:tcPr>
            <w:tcW w:w="5406" w:type="dxa"/>
          </w:tcPr>
          <w:p w14:paraId="08DDD175">
            <w:pPr>
              <w:rPr>
                <w:rFonts w:hint="eastAsia" w:ascii="宋体" w:hAnsi="宋体" w:eastAsia="宋体"/>
                <w:szCs w:val="21"/>
              </w:rPr>
            </w:pPr>
            <w:r>
              <w:rPr>
                <w:rFonts w:hint="eastAsia" w:ascii="宋体" w:hAnsi="宋体"/>
                <w:szCs w:val="21"/>
              </w:rPr>
              <w:t>深度合作方案、持续降本措施，视情况得</w:t>
            </w:r>
            <w:r>
              <w:rPr>
                <w:rFonts w:ascii="宋体" w:hAnsi="宋体"/>
                <w:szCs w:val="21"/>
              </w:rPr>
              <w:t>1-10</w:t>
            </w:r>
            <w:r>
              <w:rPr>
                <w:rFonts w:hint="eastAsia" w:ascii="宋体" w:hAnsi="宋体"/>
                <w:szCs w:val="21"/>
              </w:rPr>
              <w:t>。</w:t>
            </w:r>
          </w:p>
        </w:tc>
        <w:tc>
          <w:tcPr>
            <w:tcW w:w="1276" w:type="dxa"/>
            <w:vAlign w:val="center"/>
          </w:tcPr>
          <w:p w14:paraId="40B91B31">
            <w:pPr>
              <w:jc w:val="center"/>
              <w:rPr>
                <w:rFonts w:hint="eastAsia" w:ascii="宋体" w:hAnsi="宋体"/>
                <w:szCs w:val="21"/>
              </w:rPr>
            </w:pPr>
            <w:r>
              <w:rPr>
                <w:rFonts w:hint="eastAsia" w:ascii="宋体" w:hAnsi="宋体"/>
                <w:szCs w:val="21"/>
              </w:rPr>
              <w:t>10</w:t>
            </w:r>
          </w:p>
        </w:tc>
      </w:tr>
      <w:tr w14:paraId="78481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121FED12">
            <w:pPr>
              <w:jc w:val="center"/>
              <w:rPr>
                <w:rFonts w:hint="eastAsia" w:ascii="宋体" w:hAnsi="宋体"/>
                <w:szCs w:val="21"/>
              </w:rPr>
            </w:pPr>
          </w:p>
        </w:tc>
        <w:tc>
          <w:tcPr>
            <w:tcW w:w="831" w:type="dxa"/>
            <w:vMerge w:val="continue"/>
            <w:vAlign w:val="center"/>
          </w:tcPr>
          <w:p w14:paraId="6DD67B31">
            <w:pPr>
              <w:jc w:val="center"/>
              <w:rPr>
                <w:rFonts w:hint="eastAsia" w:ascii="宋体" w:hAnsi="宋体"/>
                <w:szCs w:val="21"/>
              </w:rPr>
            </w:pPr>
          </w:p>
        </w:tc>
        <w:tc>
          <w:tcPr>
            <w:tcW w:w="2268" w:type="dxa"/>
            <w:gridSpan w:val="2"/>
            <w:vMerge w:val="restart"/>
            <w:vAlign w:val="center"/>
          </w:tcPr>
          <w:p w14:paraId="5840F4B8">
            <w:pPr>
              <w:jc w:val="center"/>
              <w:rPr>
                <w:rFonts w:hint="eastAsia" w:ascii="宋体" w:hAnsi="宋体"/>
                <w:szCs w:val="21"/>
              </w:rPr>
            </w:pPr>
            <w:r>
              <w:rPr>
                <w:rFonts w:hint="eastAsia" w:ascii="宋体" w:hAnsi="宋体"/>
                <w:szCs w:val="21"/>
              </w:rPr>
              <w:t>质量保障</w:t>
            </w:r>
          </w:p>
        </w:tc>
        <w:tc>
          <w:tcPr>
            <w:tcW w:w="5406" w:type="dxa"/>
          </w:tcPr>
          <w:p w14:paraId="4EF922AA">
            <w:pPr>
              <w:rPr>
                <w:rFonts w:hint="eastAsia" w:ascii="宋体" w:hAnsi="宋体"/>
                <w:szCs w:val="21"/>
              </w:rPr>
            </w:pPr>
            <w:r>
              <w:rPr>
                <w:rFonts w:hint="eastAsia" w:ascii="宋体" w:hAnsi="宋体"/>
                <w:szCs w:val="21"/>
              </w:rPr>
              <w:t>质量保证体系完整，措施有力，能有项目控制计划和质量保证相关承诺。根据提供的资料从优到劣进行综合评审排序，自主赋分0</w:t>
            </w:r>
            <w:r>
              <w:rPr>
                <w:rFonts w:ascii="宋体" w:hAnsi="宋体"/>
                <w:szCs w:val="21"/>
              </w:rPr>
              <w:t>-20</w:t>
            </w:r>
            <w:r>
              <w:rPr>
                <w:rFonts w:hint="eastAsia" w:ascii="宋体" w:hAnsi="宋体"/>
                <w:szCs w:val="21"/>
              </w:rPr>
              <w:t>。</w:t>
            </w:r>
          </w:p>
        </w:tc>
        <w:tc>
          <w:tcPr>
            <w:tcW w:w="1276" w:type="dxa"/>
            <w:vAlign w:val="center"/>
          </w:tcPr>
          <w:p w14:paraId="46B3BC35">
            <w:pPr>
              <w:jc w:val="center"/>
              <w:rPr>
                <w:rFonts w:hint="eastAsia" w:ascii="宋体" w:hAnsi="宋体"/>
                <w:szCs w:val="21"/>
              </w:rPr>
            </w:pPr>
            <w:r>
              <w:rPr>
                <w:rFonts w:hint="eastAsia" w:ascii="宋体" w:hAnsi="宋体"/>
                <w:szCs w:val="21"/>
              </w:rPr>
              <w:t>20</w:t>
            </w:r>
          </w:p>
        </w:tc>
      </w:tr>
      <w:tr w14:paraId="5221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46" w:type="dxa"/>
            <w:vMerge w:val="continue"/>
            <w:vAlign w:val="center"/>
          </w:tcPr>
          <w:p w14:paraId="01DB77B0">
            <w:pPr>
              <w:jc w:val="center"/>
              <w:rPr>
                <w:rFonts w:hint="eastAsia" w:ascii="宋体" w:hAnsi="宋体"/>
                <w:szCs w:val="21"/>
              </w:rPr>
            </w:pPr>
          </w:p>
        </w:tc>
        <w:tc>
          <w:tcPr>
            <w:tcW w:w="831" w:type="dxa"/>
            <w:vMerge w:val="continue"/>
            <w:vAlign w:val="center"/>
          </w:tcPr>
          <w:p w14:paraId="5B8B3F20">
            <w:pPr>
              <w:jc w:val="center"/>
              <w:rPr>
                <w:rFonts w:hint="eastAsia" w:ascii="宋体" w:hAnsi="宋体"/>
                <w:szCs w:val="21"/>
              </w:rPr>
            </w:pPr>
          </w:p>
        </w:tc>
        <w:tc>
          <w:tcPr>
            <w:tcW w:w="2268" w:type="dxa"/>
            <w:gridSpan w:val="2"/>
            <w:vMerge w:val="continue"/>
            <w:vAlign w:val="center"/>
          </w:tcPr>
          <w:p w14:paraId="0801A491">
            <w:pPr>
              <w:jc w:val="center"/>
              <w:rPr>
                <w:rFonts w:hint="eastAsia" w:ascii="宋体" w:hAnsi="宋体"/>
                <w:szCs w:val="21"/>
              </w:rPr>
            </w:pPr>
          </w:p>
        </w:tc>
        <w:tc>
          <w:tcPr>
            <w:tcW w:w="5406" w:type="dxa"/>
          </w:tcPr>
          <w:p w14:paraId="42131569">
            <w:pPr>
              <w:rPr>
                <w:rFonts w:hint="eastAsia" w:ascii="宋体" w:hAnsi="宋体"/>
                <w:szCs w:val="21"/>
              </w:rPr>
            </w:pPr>
            <w:r>
              <w:rPr>
                <w:rFonts w:hint="eastAsia" w:ascii="宋体" w:hAnsi="宋体"/>
                <w:szCs w:val="21"/>
              </w:rPr>
              <w:t>喷涂作业能力、应急服务满足招标文件要求，合理有效、切实可行，自主赋分0</w:t>
            </w:r>
            <w:r>
              <w:rPr>
                <w:rFonts w:ascii="宋体" w:hAnsi="宋体"/>
                <w:szCs w:val="21"/>
              </w:rPr>
              <w:t>-10</w:t>
            </w:r>
            <w:r>
              <w:rPr>
                <w:rFonts w:hint="eastAsia" w:ascii="宋体" w:hAnsi="宋体"/>
                <w:szCs w:val="21"/>
              </w:rPr>
              <w:t>。</w:t>
            </w:r>
          </w:p>
        </w:tc>
        <w:tc>
          <w:tcPr>
            <w:tcW w:w="1276" w:type="dxa"/>
            <w:vAlign w:val="center"/>
          </w:tcPr>
          <w:p w14:paraId="7129229A">
            <w:pPr>
              <w:jc w:val="center"/>
              <w:rPr>
                <w:rFonts w:hint="eastAsia" w:ascii="宋体" w:hAnsi="宋体"/>
                <w:szCs w:val="21"/>
              </w:rPr>
            </w:pPr>
            <w:r>
              <w:rPr>
                <w:rFonts w:hint="eastAsia" w:ascii="宋体" w:hAnsi="宋体"/>
                <w:szCs w:val="21"/>
              </w:rPr>
              <w:t>10</w:t>
            </w:r>
          </w:p>
        </w:tc>
      </w:tr>
      <w:tr w14:paraId="046E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Merge w:val="continue"/>
            <w:vAlign w:val="center"/>
          </w:tcPr>
          <w:p w14:paraId="63FC429F">
            <w:pPr>
              <w:jc w:val="center"/>
              <w:rPr>
                <w:rFonts w:hint="eastAsia" w:ascii="宋体" w:hAnsi="宋体"/>
                <w:szCs w:val="21"/>
              </w:rPr>
            </w:pPr>
          </w:p>
        </w:tc>
        <w:tc>
          <w:tcPr>
            <w:tcW w:w="831" w:type="dxa"/>
            <w:vMerge w:val="continue"/>
            <w:vAlign w:val="center"/>
          </w:tcPr>
          <w:p w14:paraId="5F94B71C">
            <w:pPr>
              <w:jc w:val="center"/>
              <w:rPr>
                <w:rFonts w:hint="eastAsia" w:ascii="宋体" w:hAnsi="宋体"/>
                <w:szCs w:val="21"/>
              </w:rPr>
            </w:pPr>
          </w:p>
        </w:tc>
        <w:tc>
          <w:tcPr>
            <w:tcW w:w="2268" w:type="dxa"/>
            <w:gridSpan w:val="2"/>
            <w:vAlign w:val="center"/>
          </w:tcPr>
          <w:p w14:paraId="674195D8">
            <w:pPr>
              <w:jc w:val="center"/>
              <w:rPr>
                <w:rFonts w:hint="eastAsia" w:ascii="宋体" w:hAnsi="宋体"/>
                <w:szCs w:val="21"/>
              </w:rPr>
            </w:pPr>
            <w:r>
              <w:rPr>
                <w:rFonts w:hint="eastAsia" w:ascii="宋体" w:hAnsi="宋体"/>
                <w:szCs w:val="21"/>
              </w:rPr>
              <w:t>项目管理</w:t>
            </w:r>
          </w:p>
        </w:tc>
        <w:tc>
          <w:tcPr>
            <w:tcW w:w="5406" w:type="dxa"/>
          </w:tcPr>
          <w:p w14:paraId="5A1E7627">
            <w:pPr>
              <w:rPr>
                <w:rFonts w:hint="eastAsia" w:ascii="宋体" w:hAnsi="宋体" w:eastAsia="宋体"/>
                <w:szCs w:val="21"/>
              </w:rPr>
            </w:pPr>
            <w:r>
              <w:rPr>
                <w:rFonts w:hint="eastAsia" w:ascii="宋体" w:hAnsi="宋体"/>
                <w:szCs w:val="21"/>
              </w:rPr>
              <w:t>保证现场按5S标准管理，有管理流程或文件要求，根据流程或文件覆盖度、详细度，自主赋分1-10。</w:t>
            </w:r>
          </w:p>
        </w:tc>
        <w:tc>
          <w:tcPr>
            <w:tcW w:w="1276" w:type="dxa"/>
            <w:vAlign w:val="center"/>
          </w:tcPr>
          <w:p w14:paraId="5DA7AB94">
            <w:pPr>
              <w:jc w:val="center"/>
              <w:rPr>
                <w:rFonts w:hint="eastAsia" w:ascii="宋体" w:hAnsi="宋体" w:eastAsia="宋体"/>
                <w:szCs w:val="21"/>
              </w:rPr>
            </w:pPr>
            <w:r>
              <w:rPr>
                <w:rFonts w:hint="eastAsia" w:ascii="宋体" w:hAnsi="宋体"/>
                <w:szCs w:val="21"/>
              </w:rPr>
              <w:t>10</w:t>
            </w:r>
          </w:p>
        </w:tc>
      </w:tr>
      <w:tr w14:paraId="77A8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46" w:type="dxa"/>
            <w:vMerge w:val="continue"/>
            <w:vAlign w:val="center"/>
          </w:tcPr>
          <w:p w14:paraId="146C5036">
            <w:pPr>
              <w:jc w:val="center"/>
              <w:rPr>
                <w:rFonts w:hint="eastAsia" w:ascii="宋体" w:hAnsi="宋体"/>
                <w:szCs w:val="21"/>
              </w:rPr>
            </w:pPr>
          </w:p>
        </w:tc>
        <w:tc>
          <w:tcPr>
            <w:tcW w:w="831" w:type="dxa"/>
            <w:vMerge w:val="continue"/>
            <w:vAlign w:val="center"/>
          </w:tcPr>
          <w:p w14:paraId="1A4DE643">
            <w:pPr>
              <w:jc w:val="center"/>
              <w:rPr>
                <w:rFonts w:hint="eastAsia" w:ascii="宋体" w:hAnsi="宋体"/>
                <w:szCs w:val="21"/>
              </w:rPr>
            </w:pPr>
          </w:p>
        </w:tc>
        <w:tc>
          <w:tcPr>
            <w:tcW w:w="2268" w:type="dxa"/>
            <w:gridSpan w:val="2"/>
            <w:vAlign w:val="center"/>
          </w:tcPr>
          <w:p w14:paraId="3987461F">
            <w:pPr>
              <w:jc w:val="center"/>
              <w:rPr>
                <w:rFonts w:hint="eastAsia" w:ascii="宋体" w:hAnsi="宋体"/>
                <w:szCs w:val="21"/>
              </w:rPr>
            </w:pPr>
            <w:r>
              <w:rPr>
                <w:rFonts w:hint="eastAsia" w:ascii="宋体" w:hAnsi="宋体"/>
                <w:szCs w:val="21"/>
              </w:rPr>
              <w:t>业绩</w:t>
            </w:r>
          </w:p>
        </w:tc>
        <w:tc>
          <w:tcPr>
            <w:tcW w:w="5406" w:type="dxa"/>
          </w:tcPr>
          <w:p w14:paraId="1599EC6E">
            <w:pPr>
              <w:rPr>
                <w:rFonts w:hint="eastAsia" w:ascii="宋体" w:hAnsi="宋体"/>
                <w:szCs w:val="21"/>
              </w:rPr>
            </w:pPr>
            <w:r>
              <w:rPr>
                <w:rFonts w:hint="eastAsia" w:ascii="宋体" w:hAnsi="宋体"/>
                <w:szCs w:val="21"/>
              </w:rPr>
              <w:t>提供3份以上投标同类业绩，得10分；提供3份得6分；提供2份得4分；提供1份证明材料的，得2分；无证明材料的，不得分。</w:t>
            </w:r>
          </w:p>
        </w:tc>
        <w:tc>
          <w:tcPr>
            <w:tcW w:w="1276" w:type="dxa"/>
            <w:vAlign w:val="center"/>
          </w:tcPr>
          <w:p w14:paraId="4D0FF148">
            <w:pPr>
              <w:jc w:val="center"/>
              <w:rPr>
                <w:rFonts w:hint="eastAsia" w:ascii="宋体" w:hAnsi="宋体"/>
                <w:szCs w:val="21"/>
              </w:rPr>
            </w:pPr>
            <w:r>
              <w:rPr>
                <w:rFonts w:hint="eastAsia" w:ascii="宋体" w:hAnsi="宋体"/>
                <w:szCs w:val="21"/>
              </w:rPr>
              <w:t>10</w:t>
            </w:r>
          </w:p>
        </w:tc>
      </w:tr>
      <w:tr w14:paraId="1D121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0627" w:type="dxa"/>
            <w:gridSpan w:val="6"/>
          </w:tcPr>
          <w:p w14:paraId="0A2A5B49">
            <w:pPr>
              <w:numPr>
                <w:ilvl w:val="0"/>
                <w:numId w:val="28"/>
              </w:numPr>
              <w:rPr>
                <w:rFonts w:hint="eastAsia" w:ascii="宋体" w:hAnsi="宋体" w:eastAsia="宋体" w:cs="宋体"/>
                <w:sz w:val="20"/>
                <w:szCs w:val="20"/>
              </w:rPr>
            </w:pPr>
            <w:r>
              <w:rPr>
                <w:rFonts w:hint="eastAsia" w:ascii="宋体" w:hAnsi="宋体" w:eastAsia="宋体" w:cs="宋体"/>
                <w:sz w:val="20"/>
                <w:szCs w:val="20"/>
              </w:rPr>
              <w:t>技术标评分标准如上，商务标评分标准：当前轮次投标报价最低的投标报价为评标基准价，其价格分为100分（标准分）。其他投标人的价格分统一按照下列公式计算：投标报价得分=(评标基准价／投标报价)×100。</w:t>
            </w:r>
          </w:p>
          <w:p w14:paraId="15FCC4AE">
            <w:pPr>
              <w:rPr>
                <w:rFonts w:hint="eastAsia" w:ascii="宋体" w:hAnsi="宋体" w:eastAsia="宋体"/>
                <w:b/>
                <w:bCs/>
                <w:szCs w:val="21"/>
              </w:rPr>
            </w:pPr>
            <w:r>
              <w:rPr>
                <w:rFonts w:hint="eastAsia" w:ascii="宋体" w:hAnsi="宋体" w:eastAsia="宋体" w:cs="宋体"/>
                <w:sz w:val="20"/>
                <w:szCs w:val="20"/>
              </w:rPr>
              <w:t>2、采用综合评标法：技术标分数占比30%；商务标分数占比：70%。小数点后保留二位，第三位四舍五入。</w:t>
            </w:r>
          </w:p>
        </w:tc>
      </w:tr>
      <w:tr w14:paraId="367A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0627" w:type="dxa"/>
            <w:gridSpan w:val="6"/>
          </w:tcPr>
          <w:p w14:paraId="598DF849">
            <w:pPr>
              <w:rPr>
                <w:rFonts w:hint="eastAsia" w:ascii="宋体" w:hAnsi="宋体"/>
                <w:b/>
                <w:bCs/>
                <w:szCs w:val="21"/>
              </w:rPr>
            </w:pPr>
            <w:r>
              <w:rPr>
                <w:rFonts w:hint="eastAsia" w:ascii="宋体" w:hAnsi="宋体"/>
                <w:b/>
                <w:bCs/>
                <w:szCs w:val="21"/>
              </w:rPr>
              <w:t>二、整体要求</w:t>
            </w:r>
          </w:p>
        </w:tc>
      </w:tr>
      <w:tr w14:paraId="7258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627" w:type="dxa"/>
            <w:gridSpan w:val="6"/>
          </w:tcPr>
          <w:p w14:paraId="234D94F7">
            <w:pPr>
              <w:rPr>
                <w:rFonts w:hint="eastAsia" w:ascii="宋体" w:hAnsi="宋体"/>
                <w:szCs w:val="21"/>
              </w:rPr>
            </w:pPr>
            <w:r>
              <w:rPr>
                <w:rFonts w:hint="eastAsia" w:ascii="宋体" w:hAnsi="宋体"/>
                <w:szCs w:val="21"/>
              </w:rPr>
              <w:t>1、各投标单位应符合投标资格，通过资格审核且缴纳投标保证金方为有效投标。</w:t>
            </w:r>
          </w:p>
        </w:tc>
      </w:tr>
      <w:tr w14:paraId="2BDA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627" w:type="dxa"/>
            <w:gridSpan w:val="6"/>
          </w:tcPr>
          <w:p w14:paraId="4C8BD799">
            <w:pPr>
              <w:rPr>
                <w:rFonts w:hint="eastAsia" w:ascii="宋体" w:hAnsi="宋体"/>
                <w:szCs w:val="21"/>
              </w:rPr>
            </w:pPr>
            <w:r>
              <w:rPr>
                <w:rFonts w:hint="eastAsia" w:ascii="宋体" w:hAnsi="宋体"/>
                <w:szCs w:val="21"/>
              </w:rPr>
              <w:t>2、投标单位提交的投标文件和资料必须真实有效。</w:t>
            </w:r>
          </w:p>
        </w:tc>
      </w:tr>
      <w:tr w14:paraId="28E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0627" w:type="dxa"/>
            <w:gridSpan w:val="6"/>
          </w:tcPr>
          <w:p w14:paraId="0A4C36F5">
            <w:pPr>
              <w:rPr>
                <w:rFonts w:hint="eastAsia" w:ascii="宋体" w:hAnsi="宋体" w:eastAsia="宋体"/>
                <w:szCs w:val="21"/>
              </w:rPr>
            </w:pPr>
            <w:r>
              <w:rPr>
                <w:rFonts w:hint="eastAsia" w:ascii="宋体" w:hAnsi="宋体"/>
                <w:szCs w:val="21"/>
              </w:rPr>
              <w:t>3、合同签订前，招标方有权组织联合小组（财务、技术、设备、质量等）到中标候选人实地审核，如发现投标文件和资料有弄虚作假，招标方有权取消其中标候选人资格，同时招标方有权扣留其投标保证金。</w:t>
            </w:r>
          </w:p>
        </w:tc>
      </w:tr>
    </w:tbl>
    <w:p w14:paraId="1971ED7E">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35C32156">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经卡车公司相关部门评审，同意供方退出的，由业务主体责任方立即组织新供方的招标和引入或与招标时第二顺位投标方作为中标方、延用第一中标方价格签订合同。在招标期间或业务交接期间（交接期为3个月），原供方须无条件配合业务交接工作，确保业务正常运转。对于交接期间出现影响生产的情况，交接期第1个月由原供方承担70%责任，新供方承担 30%责任；交接期第2 个月，由原供方承担50%责任，新供方承担50%责任；交接期第3个月，由原供方承担30%责任，新供方承担70%责任。</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9"/>
      <w:bookmarkStart w:id="14" w:name="OLE_LINK26"/>
      <w:bookmarkStart w:id="15" w:name="OLE_LINK25"/>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59A2FD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rPr>
        <w:t>中标人在收到招标人的《中标通知书》后15日内，应按照招标文件合同专用条款的规定，采用招标文件中提供的履约保证金保函格式或招标人可以接受的其他形式向招标人提交履约保证金。本业务合同履约保证金为15万元。</w:t>
      </w:r>
    </w:p>
    <w:p w14:paraId="6E0D7439">
      <w:pPr>
        <w:pStyle w:val="72"/>
        <w:rPr>
          <w:rFonts w:hint="eastAsia"/>
          <w:lang w:val="en-US" w:eastAsia="zh-CN"/>
        </w:rPr>
      </w:pPr>
      <w:r>
        <w:rPr>
          <w:rFonts w:hint="eastAsia"/>
          <w:lang w:val="en-US" w:eastAsia="zh-CN"/>
        </w:rPr>
        <w:t>本次招标最终解释权归中国重汽集团济南卡车股份有限公司制造公司。</w:t>
      </w:r>
    </w:p>
    <w:p w14:paraId="66BCACD8">
      <w:pPr>
        <w:pStyle w:val="76"/>
      </w:pPr>
    </w:p>
    <w:p w14:paraId="07A4B493">
      <w:pPr>
        <w:pStyle w:val="71"/>
        <w:jc w:val="both"/>
        <w:rPr>
          <w:rFonts w:hint="eastAsia"/>
        </w:rPr>
      </w:pPr>
      <w:bookmarkStart w:id="17" w:name="_Toc47976607"/>
    </w:p>
    <w:p w14:paraId="65C4C2B7">
      <w:pPr>
        <w:rPr>
          <w:rFonts w:hint="eastAsia"/>
        </w:rPr>
      </w:pPr>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471BA31C">
      <w:pPr>
        <w:autoSpaceDE w:val="0"/>
        <w:autoSpaceDN w:val="0"/>
        <w:adjustRightInd w:val="0"/>
        <w:jc w:val="center"/>
        <w:rPr>
          <w:rFonts w:ascii="黑体" w:hAnsi="黑体" w:eastAsia="黑体" w:cs="宋体"/>
          <w:b/>
          <w:kern w:val="0"/>
          <w:sz w:val="28"/>
          <w:szCs w:val="28"/>
          <w:highlight w:val="none"/>
        </w:rPr>
      </w:pPr>
      <w:r>
        <w:rPr>
          <w:rFonts w:hint="eastAsia" w:ascii="黑体" w:hAnsi="黑体" w:eastAsia="黑体" w:cs="宋体"/>
          <w:b/>
          <w:kern w:val="0"/>
          <w:sz w:val="28"/>
          <w:szCs w:val="28"/>
          <w:highlight w:val="none"/>
        </w:rPr>
        <w:t>2</w:t>
      </w:r>
      <w:r>
        <w:rPr>
          <w:rFonts w:ascii="黑体" w:hAnsi="黑体" w:eastAsia="黑体" w:cs="宋体"/>
          <w:b/>
          <w:kern w:val="0"/>
          <w:sz w:val="28"/>
          <w:szCs w:val="28"/>
          <w:highlight w:val="none"/>
        </w:rPr>
        <w:t>02</w:t>
      </w:r>
      <w:r>
        <w:rPr>
          <w:rFonts w:hint="eastAsia" w:ascii="黑体" w:hAnsi="黑体" w:eastAsia="黑体" w:cs="宋体"/>
          <w:b/>
          <w:kern w:val="0"/>
          <w:sz w:val="28"/>
          <w:szCs w:val="28"/>
          <w:highlight w:val="none"/>
          <w:lang w:val="en-US" w:eastAsia="zh-CN"/>
        </w:rPr>
        <w:t>6</w:t>
      </w:r>
      <w:r>
        <w:rPr>
          <w:rFonts w:hint="eastAsia" w:ascii="黑体" w:hAnsi="黑体" w:eastAsia="黑体" w:cs="宋体"/>
          <w:b/>
          <w:kern w:val="0"/>
          <w:sz w:val="28"/>
          <w:szCs w:val="28"/>
          <w:highlight w:val="none"/>
        </w:rPr>
        <w:t>年工序外包项目方案</w:t>
      </w:r>
    </w:p>
    <w:p w14:paraId="2C61AA9C">
      <w:pPr>
        <w:numPr>
          <w:ilvl w:val="0"/>
          <w:numId w:val="30"/>
        </w:numPr>
        <w:autoSpaceDE w:val="0"/>
        <w:autoSpaceDN w:val="0"/>
        <w:adjustRightInd w:val="0"/>
        <w:jc w:val="left"/>
        <w:rPr>
          <w:rFonts w:hint="eastAsia" w:ascii="黑体" w:hAnsi="黑体" w:eastAsia="黑体" w:cs="仿宋_GB2312"/>
          <w:sz w:val="28"/>
          <w:szCs w:val="28"/>
          <w:highlight w:val="none"/>
        </w:rPr>
      </w:pPr>
      <w:r>
        <w:rPr>
          <w:rFonts w:hint="eastAsia" w:ascii="黑体" w:hAnsi="黑体" w:eastAsia="黑体" w:cs="仿宋_GB2312"/>
          <w:sz w:val="28"/>
          <w:szCs w:val="28"/>
          <w:highlight w:val="none"/>
        </w:rPr>
        <w:t>项目内容</w:t>
      </w:r>
    </w:p>
    <w:p w14:paraId="539D894E">
      <w:pPr>
        <w:rPr>
          <w:rFonts w:hint="eastAsia" w:ascii="仿宋_GB2312"/>
          <w:sz w:val="28"/>
          <w:szCs w:val="28"/>
          <w:highlight w:val="none"/>
          <w:lang w:val="en-US" w:eastAsia="zh-CN"/>
        </w:rPr>
      </w:pPr>
      <w:r>
        <w:rPr>
          <w:rFonts w:hint="eastAsia" w:ascii="仿宋_GB2312" w:eastAsia="仿宋_GB2312"/>
          <w:sz w:val="28"/>
          <w:szCs w:val="28"/>
          <w:highlight w:val="none"/>
        </w:rPr>
        <w:t>承包单位承包的车架</w:t>
      </w:r>
      <w:r>
        <w:rPr>
          <w:rFonts w:hint="eastAsia" w:ascii="仿宋_GB2312"/>
          <w:sz w:val="28"/>
          <w:szCs w:val="28"/>
          <w:highlight w:val="none"/>
          <w:lang w:val="en-US" w:eastAsia="zh-CN"/>
        </w:rPr>
        <w:t>一</w:t>
      </w:r>
      <w:r>
        <w:rPr>
          <w:rFonts w:hint="eastAsia" w:ascii="仿宋_GB2312" w:eastAsia="仿宋_GB2312"/>
          <w:sz w:val="28"/>
          <w:szCs w:val="28"/>
          <w:highlight w:val="none"/>
        </w:rPr>
        <w:t>部区域为：</w:t>
      </w:r>
      <w:r>
        <w:rPr>
          <w:rFonts w:hint="eastAsia" w:ascii="仿宋_GB2312"/>
          <w:sz w:val="28"/>
          <w:szCs w:val="28"/>
          <w:highlight w:val="none"/>
          <w:lang w:val="en-US" w:eastAsia="zh-CN"/>
        </w:rPr>
        <w:t>横梁电泳线、纵梁电泳线。</w:t>
      </w:r>
    </w:p>
    <w:tbl>
      <w:tblPr>
        <w:tblStyle w:val="30"/>
        <w:tblW w:w="8401" w:type="dxa"/>
        <w:jc w:val="center"/>
        <w:tblLayout w:type="fixed"/>
        <w:tblCellMar>
          <w:top w:w="0" w:type="dxa"/>
          <w:left w:w="108" w:type="dxa"/>
          <w:bottom w:w="0" w:type="dxa"/>
          <w:right w:w="108" w:type="dxa"/>
        </w:tblCellMar>
      </w:tblPr>
      <w:tblGrid>
        <w:gridCol w:w="888"/>
        <w:gridCol w:w="2552"/>
        <w:gridCol w:w="4961"/>
      </w:tblGrid>
      <w:tr w14:paraId="274A53ED">
        <w:tblPrEx>
          <w:tblCellMar>
            <w:top w:w="0" w:type="dxa"/>
            <w:left w:w="108" w:type="dxa"/>
            <w:bottom w:w="0" w:type="dxa"/>
            <w:right w:w="108" w:type="dxa"/>
          </w:tblCellMar>
        </w:tblPrEx>
        <w:trPr>
          <w:trHeight w:val="375" w:hRule="atLeast"/>
          <w:jc w:val="center"/>
        </w:trPr>
        <w:tc>
          <w:tcPr>
            <w:tcW w:w="88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859258">
            <w:pPr>
              <w:widowControl/>
              <w:jc w:val="center"/>
              <w:rPr>
                <w:rFonts w:cs="宋体" w:asciiTheme="minorEastAsia" w:hAnsiTheme="minorEastAsia"/>
                <w:b/>
                <w:bCs/>
                <w:color w:val="000000"/>
                <w:kern w:val="0"/>
                <w:sz w:val="28"/>
                <w:szCs w:val="28"/>
                <w:highlight w:val="none"/>
              </w:rPr>
            </w:pPr>
            <w:r>
              <w:rPr>
                <w:rFonts w:hint="eastAsia" w:cs="宋体" w:asciiTheme="minorEastAsia" w:hAnsiTheme="minorEastAsia"/>
                <w:b/>
                <w:bCs/>
                <w:color w:val="000000"/>
                <w:kern w:val="0"/>
                <w:sz w:val="28"/>
                <w:szCs w:val="28"/>
                <w:highlight w:val="none"/>
              </w:rPr>
              <w:t>序号</w:t>
            </w:r>
          </w:p>
        </w:tc>
        <w:tc>
          <w:tcPr>
            <w:tcW w:w="2552" w:type="dxa"/>
            <w:tcBorders>
              <w:top w:val="single" w:color="auto" w:sz="4" w:space="0"/>
              <w:left w:val="nil"/>
              <w:bottom w:val="single" w:color="auto" w:sz="4" w:space="0"/>
              <w:right w:val="single" w:color="auto" w:sz="4" w:space="0"/>
            </w:tcBorders>
            <w:shd w:val="clear" w:color="auto" w:fill="auto"/>
            <w:vAlign w:val="center"/>
          </w:tcPr>
          <w:p w14:paraId="7E618BE0">
            <w:pPr>
              <w:widowControl/>
              <w:jc w:val="center"/>
              <w:rPr>
                <w:rFonts w:cs="宋体" w:asciiTheme="minorEastAsia" w:hAnsiTheme="minorEastAsia"/>
                <w:b/>
                <w:bCs/>
                <w:color w:val="000000"/>
                <w:kern w:val="0"/>
                <w:sz w:val="28"/>
                <w:szCs w:val="28"/>
                <w:highlight w:val="none"/>
              </w:rPr>
            </w:pPr>
            <w:r>
              <w:rPr>
                <w:rFonts w:hint="eastAsia" w:cs="宋体" w:asciiTheme="minorEastAsia" w:hAnsiTheme="minorEastAsia"/>
                <w:b/>
                <w:bCs/>
                <w:color w:val="000000"/>
                <w:kern w:val="0"/>
                <w:sz w:val="28"/>
                <w:szCs w:val="28"/>
                <w:highlight w:val="none"/>
              </w:rPr>
              <w:t>项目名称</w:t>
            </w:r>
          </w:p>
        </w:tc>
        <w:tc>
          <w:tcPr>
            <w:tcW w:w="4961" w:type="dxa"/>
            <w:tcBorders>
              <w:top w:val="single" w:color="auto" w:sz="4" w:space="0"/>
              <w:left w:val="nil"/>
              <w:bottom w:val="single" w:color="auto" w:sz="4" w:space="0"/>
              <w:right w:val="single" w:color="auto" w:sz="4" w:space="0"/>
            </w:tcBorders>
            <w:shd w:val="clear" w:color="auto" w:fill="auto"/>
            <w:noWrap/>
            <w:vAlign w:val="center"/>
          </w:tcPr>
          <w:p w14:paraId="192728DB">
            <w:pPr>
              <w:widowControl/>
              <w:jc w:val="center"/>
              <w:rPr>
                <w:rFonts w:cs="宋体" w:asciiTheme="minorEastAsia" w:hAnsiTheme="minorEastAsia"/>
                <w:b/>
                <w:bCs/>
                <w:color w:val="000000"/>
                <w:kern w:val="0"/>
                <w:sz w:val="28"/>
                <w:szCs w:val="28"/>
                <w:highlight w:val="none"/>
              </w:rPr>
            </w:pPr>
            <w:r>
              <w:rPr>
                <w:rFonts w:hint="eastAsia" w:cs="宋体" w:asciiTheme="minorEastAsia" w:hAnsiTheme="minorEastAsia"/>
                <w:b/>
                <w:bCs/>
                <w:color w:val="000000"/>
                <w:kern w:val="0"/>
                <w:sz w:val="28"/>
                <w:szCs w:val="28"/>
                <w:highlight w:val="none"/>
              </w:rPr>
              <w:t>主要服务内容</w:t>
            </w:r>
          </w:p>
        </w:tc>
      </w:tr>
      <w:tr w14:paraId="1A274B35">
        <w:tblPrEx>
          <w:tblCellMar>
            <w:top w:w="0" w:type="dxa"/>
            <w:left w:w="108" w:type="dxa"/>
            <w:bottom w:w="0" w:type="dxa"/>
            <w:right w:w="108" w:type="dxa"/>
          </w:tblCellMar>
        </w:tblPrEx>
        <w:trPr>
          <w:trHeight w:val="1140" w:hRule="atLeast"/>
          <w:jc w:val="center"/>
        </w:trPr>
        <w:tc>
          <w:tcPr>
            <w:tcW w:w="888" w:type="dxa"/>
            <w:tcBorders>
              <w:top w:val="nil"/>
              <w:left w:val="single" w:color="auto" w:sz="4" w:space="0"/>
              <w:bottom w:val="single" w:color="auto" w:sz="4" w:space="0"/>
              <w:right w:val="single" w:color="auto" w:sz="4" w:space="0"/>
            </w:tcBorders>
            <w:shd w:val="clear" w:color="auto" w:fill="auto"/>
            <w:noWrap/>
            <w:vAlign w:val="center"/>
          </w:tcPr>
          <w:p w14:paraId="2571D15C">
            <w:pPr>
              <w:widowControl/>
              <w:jc w:val="center"/>
              <w:rPr>
                <w:rFonts w:cs="宋体" w:asciiTheme="minorEastAsia" w:hAnsiTheme="minorEastAsia"/>
                <w:color w:val="000000"/>
                <w:kern w:val="0"/>
                <w:sz w:val="28"/>
                <w:szCs w:val="28"/>
                <w:highlight w:val="none"/>
              </w:rPr>
            </w:pPr>
            <w:r>
              <w:rPr>
                <w:rFonts w:hint="eastAsia" w:cs="宋体" w:asciiTheme="minorEastAsia" w:hAnsiTheme="minorEastAsia"/>
                <w:color w:val="000000"/>
                <w:kern w:val="0"/>
                <w:sz w:val="28"/>
                <w:szCs w:val="28"/>
                <w:highlight w:val="none"/>
              </w:rPr>
              <w:t>1</w:t>
            </w:r>
          </w:p>
        </w:tc>
        <w:tc>
          <w:tcPr>
            <w:tcW w:w="2552" w:type="dxa"/>
            <w:tcBorders>
              <w:top w:val="nil"/>
              <w:left w:val="nil"/>
              <w:bottom w:val="single" w:color="auto" w:sz="4" w:space="0"/>
              <w:right w:val="single" w:color="auto" w:sz="4" w:space="0"/>
            </w:tcBorders>
            <w:shd w:val="clear" w:color="auto" w:fill="auto"/>
            <w:vAlign w:val="center"/>
          </w:tcPr>
          <w:p w14:paraId="50B428AD">
            <w:pPr>
              <w:widowControl/>
              <w:jc w:val="center"/>
              <w:rPr>
                <w:rFonts w:cs="宋体" w:asciiTheme="minorEastAsia" w:hAnsiTheme="minorEastAsia"/>
                <w:color w:val="000000"/>
                <w:kern w:val="0"/>
                <w:sz w:val="28"/>
                <w:szCs w:val="28"/>
                <w:highlight w:val="none"/>
              </w:rPr>
            </w:pPr>
            <w:r>
              <w:rPr>
                <w:rFonts w:hint="eastAsia" w:cs="宋体" w:asciiTheme="minorEastAsia" w:hAnsiTheme="minorEastAsia"/>
                <w:color w:val="000000"/>
                <w:kern w:val="0"/>
                <w:sz w:val="28"/>
                <w:szCs w:val="28"/>
                <w:highlight w:val="none"/>
                <w:lang w:val="en-US" w:eastAsia="zh-CN"/>
              </w:rPr>
              <w:t>车架一部2026年电泳</w:t>
            </w:r>
            <w:r>
              <w:rPr>
                <w:rFonts w:hint="eastAsia" w:cs="宋体" w:asciiTheme="minorEastAsia" w:hAnsiTheme="minorEastAsia"/>
                <w:color w:val="000000"/>
                <w:kern w:val="0"/>
                <w:sz w:val="28"/>
                <w:szCs w:val="28"/>
                <w:highlight w:val="none"/>
              </w:rPr>
              <w:t>线业务外包</w:t>
            </w:r>
          </w:p>
        </w:tc>
        <w:tc>
          <w:tcPr>
            <w:tcW w:w="4961" w:type="dxa"/>
            <w:tcBorders>
              <w:top w:val="nil"/>
              <w:left w:val="nil"/>
              <w:bottom w:val="single" w:color="auto" w:sz="4" w:space="0"/>
              <w:right w:val="single" w:color="auto" w:sz="4" w:space="0"/>
            </w:tcBorders>
            <w:shd w:val="clear" w:color="auto" w:fill="auto"/>
            <w:vAlign w:val="center"/>
          </w:tcPr>
          <w:p w14:paraId="6FA9FE48">
            <w:pPr>
              <w:widowControl/>
              <w:jc w:val="center"/>
              <w:rPr>
                <w:rFonts w:hint="default" w:eastAsia="仿宋_GB2312" w:cs="宋体" w:asciiTheme="minorEastAsia" w:hAnsiTheme="minorEastAsia"/>
                <w:color w:val="000000"/>
                <w:kern w:val="0"/>
                <w:sz w:val="28"/>
                <w:szCs w:val="28"/>
                <w:highlight w:val="none"/>
                <w:lang w:val="en-US" w:eastAsia="zh-CN"/>
              </w:rPr>
            </w:pPr>
            <w:r>
              <w:rPr>
                <w:rFonts w:hint="eastAsia" w:cs="宋体" w:asciiTheme="minorEastAsia" w:hAnsiTheme="minorEastAsia"/>
                <w:color w:val="000000"/>
                <w:kern w:val="0"/>
                <w:sz w:val="28"/>
                <w:szCs w:val="28"/>
                <w:highlight w:val="none"/>
              </w:rPr>
              <w:t>车架总成用纵梁、横梁</w:t>
            </w:r>
            <w:r>
              <w:rPr>
                <w:rFonts w:hint="eastAsia" w:cs="宋体" w:asciiTheme="minorEastAsia" w:hAnsiTheme="minorEastAsia"/>
                <w:color w:val="000000"/>
                <w:kern w:val="0"/>
                <w:sz w:val="28"/>
                <w:szCs w:val="28"/>
                <w:highlight w:val="none"/>
                <w:lang w:eastAsia="zh-CN"/>
              </w:rPr>
              <w:t>、</w:t>
            </w:r>
            <w:r>
              <w:rPr>
                <w:rFonts w:hint="eastAsia" w:cs="宋体" w:asciiTheme="minorEastAsia" w:hAnsiTheme="minorEastAsia"/>
                <w:color w:val="000000"/>
                <w:kern w:val="0"/>
                <w:sz w:val="28"/>
                <w:szCs w:val="28"/>
                <w:highlight w:val="none"/>
              </w:rPr>
              <w:t>连接板</w:t>
            </w:r>
            <w:r>
              <w:rPr>
                <w:rFonts w:hint="eastAsia" w:cs="宋体" w:asciiTheme="minorEastAsia" w:hAnsiTheme="minorEastAsia"/>
                <w:color w:val="000000"/>
                <w:kern w:val="0"/>
                <w:sz w:val="28"/>
                <w:szCs w:val="28"/>
                <w:highlight w:val="none"/>
                <w:lang w:val="en-US" w:eastAsia="zh-CN"/>
              </w:rPr>
              <w:t>及其他产品件的电泳</w:t>
            </w:r>
          </w:p>
        </w:tc>
      </w:tr>
    </w:tbl>
    <w:p w14:paraId="1F789DE5">
      <w:pPr>
        <w:numPr>
          <w:ilvl w:val="0"/>
          <w:numId w:val="0"/>
        </w:numPr>
        <w:autoSpaceDE w:val="0"/>
        <w:autoSpaceDN w:val="0"/>
        <w:adjustRightInd w:val="0"/>
        <w:jc w:val="left"/>
        <w:rPr>
          <w:rFonts w:hint="eastAsia" w:ascii="黑体" w:hAnsi="黑体" w:eastAsia="黑体" w:cs="仿宋_GB2312"/>
          <w:sz w:val="28"/>
          <w:szCs w:val="28"/>
          <w:highlight w:val="none"/>
        </w:rPr>
      </w:pPr>
      <w:r>
        <w:rPr>
          <w:rFonts w:hint="eastAsia" w:ascii="黑体" w:hAnsi="黑体" w:eastAsia="黑体" w:cs="仿宋_GB2312"/>
          <w:sz w:val="28"/>
          <w:szCs w:val="28"/>
          <w:highlight w:val="none"/>
        </w:rPr>
        <w:t>二、项目必要性分析</w:t>
      </w:r>
    </w:p>
    <w:p w14:paraId="60694DF3">
      <w:pPr>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1、粉尘排放涉及职业健康的</w:t>
      </w:r>
      <w:r>
        <w:rPr>
          <w:rFonts w:hint="eastAsia" w:ascii="仿宋" w:hAnsi="仿宋" w:eastAsia="仿宋" w:cs="仿宋"/>
          <w:sz w:val="28"/>
          <w:szCs w:val="28"/>
          <w:highlight w:val="none"/>
        </w:rPr>
        <w:t>风险高</w:t>
      </w:r>
      <w:r>
        <w:rPr>
          <w:rFonts w:hint="eastAsia" w:ascii="仿宋" w:hAnsi="仿宋" w:eastAsia="仿宋" w:cs="仿宋"/>
          <w:sz w:val="28"/>
          <w:szCs w:val="28"/>
          <w:highlight w:val="none"/>
          <w:lang w:eastAsia="zh-CN"/>
        </w:rPr>
        <w:t>。</w:t>
      </w:r>
    </w:p>
    <w:p w14:paraId="21643619">
      <w:pPr>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产品质量可控：外包成品/半成品一旦出现质量问题，可通过目视、计量器具检验等简易方式快速识别</w:t>
      </w:r>
      <w:r>
        <w:rPr>
          <w:rFonts w:hint="eastAsia" w:ascii="仿宋" w:hAnsi="仿宋" w:eastAsia="仿宋" w:cs="仿宋"/>
          <w:sz w:val="28"/>
          <w:szCs w:val="28"/>
          <w:highlight w:val="none"/>
          <w:lang w:eastAsia="zh-CN"/>
        </w:rPr>
        <w:t>。</w:t>
      </w:r>
    </w:p>
    <w:p w14:paraId="3D0F6730">
      <w:pPr>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在提供同质化服务的情况下可降低成本</w:t>
      </w:r>
      <w:r>
        <w:rPr>
          <w:rFonts w:hint="eastAsia" w:ascii="仿宋" w:hAnsi="仿宋" w:eastAsia="仿宋" w:cs="仿宋"/>
          <w:sz w:val="28"/>
          <w:szCs w:val="28"/>
          <w:highlight w:val="none"/>
          <w:lang w:eastAsia="zh-CN"/>
        </w:rPr>
        <w:t>。</w:t>
      </w:r>
    </w:p>
    <w:p w14:paraId="449B2CB6">
      <w:pPr>
        <w:pageBreakBefore w:val="0"/>
        <w:widowControl w:val="0"/>
        <w:kinsoku/>
        <w:wordWrap/>
        <w:overflowPunct/>
        <w:topLinePunct w:val="0"/>
        <w:autoSpaceDE w:val="0"/>
        <w:autoSpaceDN w:val="0"/>
        <w:bidi w:val="0"/>
        <w:adjustRightInd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4、</w:t>
      </w:r>
      <w:r>
        <w:rPr>
          <w:rFonts w:hint="eastAsia" w:ascii="仿宋" w:hAnsi="仿宋" w:eastAsia="仿宋" w:cs="仿宋"/>
          <w:sz w:val="28"/>
          <w:szCs w:val="28"/>
          <w:highlight w:val="none"/>
        </w:rPr>
        <w:t>生产效率不受影响。</w:t>
      </w:r>
    </w:p>
    <w:p w14:paraId="5546004B">
      <w:pPr>
        <w:numPr>
          <w:ilvl w:val="0"/>
          <w:numId w:val="0"/>
        </w:numPr>
        <w:autoSpaceDE w:val="0"/>
        <w:autoSpaceDN w:val="0"/>
        <w:adjustRightInd w:val="0"/>
        <w:jc w:val="left"/>
        <w:rPr>
          <w:rFonts w:hint="eastAsia" w:ascii="黑体" w:hAnsi="黑体" w:eastAsia="黑体" w:cs="仿宋_GB2312"/>
          <w:sz w:val="28"/>
          <w:szCs w:val="28"/>
          <w:highlight w:val="none"/>
        </w:rPr>
      </w:pPr>
      <w:r>
        <w:rPr>
          <w:rFonts w:hint="eastAsia" w:ascii="黑体" w:hAnsi="黑体" w:eastAsia="黑体" w:cs="仿宋_GB2312"/>
          <w:sz w:val="28"/>
          <w:szCs w:val="28"/>
          <w:highlight w:val="none"/>
        </w:rPr>
        <w:t>三、外包项目方案</w:t>
      </w:r>
    </w:p>
    <w:p w14:paraId="3BF7728E">
      <w:pPr>
        <w:pageBreakBefore w:val="0"/>
        <w:widowControl w:val="0"/>
        <w:kinsoku/>
        <w:wordWrap/>
        <w:overflowPunct/>
        <w:topLinePunct w:val="0"/>
        <w:bidi w:val="0"/>
        <w:snapToGrid/>
        <w:spacing w:line="36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工序外包方选择方案</w:t>
      </w:r>
    </w:p>
    <w:p w14:paraId="41A5C261">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w:t>
      </w:r>
      <w:r>
        <w:rPr>
          <w:rFonts w:hint="eastAsia" w:ascii="仿宋" w:hAnsi="仿宋" w:eastAsia="仿宋" w:cs="仿宋"/>
          <w:sz w:val="28"/>
          <w:szCs w:val="28"/>
          <w:highlight w:val="none"/>
        </w:rPr>
        <w:t>营业执照必须具有相关业务资质，具有质量体系认证证书；投标人须具有履行合同所必须的财务、技术质量、服务等方面的资质和能力；</w:t>
      </w:r>
    </w:p>
    <w:p w14:paraId="62D13AEB">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公司注册资本不少于500万元（人民币），注册时间3年以上，以投标之日计算；</w:t>
      </w:r>
    </w:p>
    <w:p w14:paraId="3B10C2F1">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1.3、</w:t>
      </w:r>
      <w:r>
        <w:rPr>
          <w:rFonts w:hint="eastAsia" w:ascii="仿宋" w:hAnsi="仿宋" w:eastAsia="仿宋" w:cs="仿宋"/>
          <w:sz w:val="28"/>
          <w:szCs w:val="28"/>
          <w:highlight w:val="none"/>
        </w:rPr>
        <w:t>必须具有两年以上的相关工作经历和成功的类似工程案例；</w:t>
      </w:r>
    </w:p>
    <w:p w14:paraId="576DF904">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1.4、</w:t>
      </w:r>
      <w:r>
        <w:rPr>
          <w:rFonts w:hint="eastAsia" w:ascii="仿宋" w:hAnsi="仿宋" w:eastAsia="仿宋" w:cs="仿宋"/>
          <w:sz w:val="28"/>
          <w:szCs w:val="28"/>
          <w:highlight w:val="none"/>
        </w:rPr>
        <w:t>在社会上和重汽集团内的其它招标过程中没有不良行为记录；</w:t>
      </w:r>
    </w:p>
    <w:p w14:paraId="5152D098">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1.5、</w:t>
      </w:r>
      <w:r>
        <w:rPr>
          <w:rFonts w:hint="eastAsia" w:ascii="仿宋" w:hAnsi="仿宋" w:eastAsia="仿宋" w:cs="仿宋"/>
          <w:sz w:val="28"/>
          <w:szCs w:val="28"/>
          <w:highlight w:val="none"/>
        </w:rPr>
        <w:t>投标人必须是最终投标、签订合同的单位，不得以任何理由将已中标项目以任何形式转包给其他单位；</w:t>
      </w:r>
    </w:p>
    <w:p w14:paraId="70B38850">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1.6、</w:t>
      </w:r>
      <w:r>
        <w:rPr>
          <w:rFonts w:hint="eastAsia" w:ascii="仿宋" w:hAnsi="仿宋" w:eastAsia="仿宋" w:cs="仿宋"/>
          <w:sz w:val="28"/>
          <w:szCs w:val="28"/>
          <w:highlight w:val="none"/>
        </w:rPr>
        <w:t>具有健全的财务会计制度，财务状况和市场行为良好。没有处于被有权机关吊销营业执照、吊销资质、停业整顿、取消投标资格以及财产被接管、冻结或进入破产程序等；</w:t>
      </w:r>
    </w:p>
    <w:p w14:paraId="392783B0">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1.7、</w:t>
      </w:r>
      <w:r>
        <w:rPr>
          <w:rFonts w:hint="eastAsia" w:ascii="仿宋" w:hAnsi="仿宋" w:eastAsia="仿宋" w:cs="仿宋"/>
          <w:sz w:val="28"/>
          <w:szCs w:val="28"/>
          <w:highlight w:val="none"/>
        </w:rPr>
        <w:t>法律法规对合格投标人的其它要求、规定；</w:t>
      </w:r>
    </w:p>
    <w:p w14:paraId="33B103C2">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1.8、</w:t>
      </w:r>
      <w:r>
        <w:rPr>
          <w:rFonts w:hint="eastAsia" w:ascii="仿宋" w:hAnsi="仿宋" w:eastAsia="仿宋" w:cs="仿宋"/>
          <w:sz w:val="28"/>
          <w:szCs w:val="28"/>
          <w:highlight w:val="none"/>
        </w:rPr>
        <w:t>不接受联合体投标；</w:t>
      </w:r>
    </w:p>
    <w:p w14:paraId="6DE2A540">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1.9、</w:t>
      </w:r>
      <w:r>
        <w:rPr>
          <w:rFonts w:hint="eastAsia" w:ascii="仿宋" w:hAnsi="仿宋" w:eastAsia="仿宋" w:cs="仿宋"/>
          <w:sz w:val="28"/>
          <w:szCs w:val="28"/>
          <w:highlight w:val="none"/>
        </w:rPr>
        <w:t>满足技术、质量、资金等要求，财务状况良好、经营稳定，具有全面履约的能力，能提供相关信用等级和完税证明；</w:t>
      </w:r>
    </w:p>
    <w:p w14:paraId="2B4F3AF7">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1.10、</w:t>
      </w:r>
      <w:r>
        <w:rPr>
          <w:rFonts w:hint="eastAsia" w:ascii="仿宋" w:hAnsi="仿宋" w:eastAsia="仿宋" w:cs="仿宋"/>
          <w:sz w:val="28"/>
          <w:szCs w:val="28"/>
          <w:highlight w:val="none"/>
        </w:rPr>
        <w:t>在“国家企业信用信息公示系统”、“中国执行信息公开网”、“信用中国”、“天眼查”“裁判文书网”等信息平台中，无与招标项目有关的重大行政处罚及失信记录等信息；</w:t>
      </w:r>
    </w:p>
    <w:p w14:paraId="1C3D9A73">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1.11、</w:t>
      </w:r>
      <w:r>
        <w:rPr>
          <w:rFonts w:hint="eastAsia" w:ascii="仿宋" w:hAnsi="仿宋" w:eastAsia="仿宋" w:cs="仿宋"/>
          <w:sz w:val="28"/>
          <w:szCs w:val="28"/>
          <w:highlight w:val="none"/>
        </w:rPr>
        <w:t>无招标违规、谎报年度报告信息、提供虚假资质资料等行为或其他与招标项目有关的重大行政处罚记录；</w:t>
      </w:r>
    </w:p>
    <w:p w14:paraId="205E7E8C">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1.12、</w:t>
      </w:r>
      <w:r>
        <w:rPr>
          <w:rFonts w:hint="eastAsia" w:ascii="仿宋" w:hAnsi="仿宋" w:eastAsia="仿宋" w:cs="仿宋"/>
          <w:sz w:val="28"/>
          <w:szCs w:val="28"/>
          <w:highlight w:val="none"/>
        </w:rPr>
        <w:t>没有被重汽集团列入黑名单；</w:t>
      </w:r>
    </w:p>
    <w:p w14:paraId="2B396674">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1.13、</w:t>
      </w:r>
      <w:r>
        <w:rPr>
          <w:rFonts w:hint="eastAsia" w:ascii="仿宋" w:hAnsi="仿宋" w:eastAsia="仿宋" w:cs="仿宋"/>
          <w:sz w:val="28"/>
          <w:szCs w:val="28"/>
          <w:highlight w:val="none"/>
        </w:rPr>
        <w:t>投标方的直接或间接股东、法定代表人、董事、监事、高管非重汽员工及其亲属。</w:t>
      </w:r>
    </w:p>
    <w:p w14:paraId="3859B455">
      <w:pPr>
        <w:pageBreakBefore w:val="0"/>
        <w:widowControl w:val="0"/>
        <w:kinsoku/>
        <w:wordWrap/>
        <w:overflowPunct/>
        <w:topLinePunct w:val="0"/>
        <w:autoSpaceDE/>
        <w:autoSpaceDN/>
        <w:bidi w:val="0"/>
        <w:adjustRightInd/>
        <w:snapToGrid/>
        <w:spacing w:line="360" w:lineRule="exact"/>
        <w:jc w:val="left"/>
        <w:textAlignment w:val="auto"/>
        <w:outlineLvl w:val="9"/>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2、预计成本及收益</w:t>
      </w:r>
    </w:p>
    <w:p w14:paraId="2AB0000C">
      <w:pPr>
        <w:pageBreakBefore w:val="0"/>
        <w:widowControl w:val="0"/>
        <w:kinsoku/>
        <w:wordWrap/>
        <w:overflowPunct/>
        <w:topLinePunct w:val="0"/>
        <w:autoSpaceDE/>
        <w:autoSpaceDN/>
        <w:bidi w:val="0"/>
        <w:adjustRightInd/>
        <w:snapToGrid/>
        <w:spacing w:line="360" w:lineRule="exac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2.1自制费用预算</w:t>
      </w:r>
    </w:p>
    <w:p w14:paraId="193E3A8D">
      <w:pPr>
        <w:pageBreakBefore w:val="0"/>
        <w:widowControl w:val="0"/>
        <w:kinsoku/>
        <w:wordWrap/>
        <w:overflowPunct/>
        <w:topLinePunct w:val="0"/>
        <w:autoSpaceDE/>
        <w:autoSpaceDN/>
        <w:bidi w:val="0"/>
        <w:adjustRightInd/>
        <w:snapToGrid/>
        <w:spacing w:line="360" w:lineRule="exac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该项目考虑到总体运行稳定、质量稳定且存在职业健康危害风险，卡车公司经评审后2026年继续外包。</w:t>
      </w:r>
    </w:p>
    <w:p w14:paraId="1D5DA01B">
      <w:pPr>
        <w:pageBreakBefore w:val="0"/>
        <w:widowControl w:val="0"/>
        <w:kinsoku/>
        <w:wordWrap/>
        <w:overflowPunct/>
        <w:topLinePunct w:val="0"/>
        <w:autoSpaceDE/>
        <w:autoSpaceDN/>
        <w:bidi w:val="0"/>
        <w:adjustRightInd/>
        <w:snapToGrid/>
        <w:spacing w:line="360" w:lineRule="exac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2.2外包费用预算</w:t>
      </w:r>
    </w:p>
    <w:p w14:paraId="59EE84E2">
      <w:pPr>
        <w:pageBreakBefore w:val="0"/>
        <w:widowControl w:val="0"/>
        <w:kinsoku/>
        <w:wordWrap/>
        <w:overflowPunct/>
        <w:topLinePunct w:val="0"/>
        <w:autoSpaceDE/>
        <w:autoSpaceDN/>
        <w:bidi w:val="0"/>
        <w:adjustRightInd/>
        <w:snapToGrid/>
        <w:spacing w:line="360" w:lineRule="exact"/>
        <w:textAlignment w:val="auto"/>
        <w:outlineLvl w:val="9"/>
        <w:rPr>
          <w:rFonts w:hint="eastAsia" w:ascii="仿宋" w:hAnsi="仿宋" w:eastAsia="仿宋" w:cs="仿宋"/>
          <w:sz w:val="28"/>
          <w:szCs w:val="28"/>
          <w:highlight w:val="none"/>
        </w:rPr>
      </w:pPr>
      <w:r>
        <w:rPr>
          <w:rFonts w:hint="eastAsia" w:ascii="仿宋" w:hAnsi="仿宋" w:eastAsia="仿宋" w:cs="仿宋"/>
          <w:b w:val="0"/>
          <w:bCs w:val="0"/>
          <w:sz w:val="28"/>
          <w:szCs w:val="28"/>
          <w:highlight w:val="none"/>
          <w:lang w:val="en-US" w:eastAsia="zh-CN"/>
        </w:rPr>
        <w:t>根据卡车公司关于2026年预算生产数量为119990辆，即横梁产品件面积约为183万平方米，纵梁产品件面积约为215万平方米，按照2025年承包商最终报价纵梁电泳线0.87元/平方米（不含税），横梁电泳线6.5元/平方米（不含税），进行2026年电泳线项目外包费用预算为1377万元（不含税）。</w:t>
      </w:r>
    </w:p>
    <w:p w14:paraId="46C10D5A">
      <w:pPr>
        <w:pageBreakBefore w:val="0"/>
        <w:widowControl w:val="0"/>
        <w:kinsoku/>
        <w:wordWrap/>
        <w:overflowPunct/>
        <w:topLinePunct w:val="0"/>
        <w:bidi w:val="0"/>
        <w:snapToGrid/>
        <w:spacing w:line="36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3、工艺定员</w:t>
      </w:r>
    </w:p>
    <w:p w14:paraId="5AD26E22">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1</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纵梁电泳线</w:t>
      </w:r>
    </w:p>
    <w:p w14:paraId="13450B88">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生产线节拍为0.86分钟/根，折合2.58分钟/辆份，单班定员13人。具体工艺定员详见下表。</w:t>
      </w:r>
    </w:p>
    <w:p w14:paraId="0F69C5BB">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3.2</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横梁电泳线</w:t>
      </w:r>
    </w:p>
    <w:p w14:paraId="183740E2">
      <w:pPr>
        <w:pageBreakBefore w:val="0"/>
        <w:widowControl w:val="0"/>
        <w:kinsoku/>
        <w:wordWrap/>
        <w:overflowPunct/>
        <w:topLinePunct w:val="0"/>
        <w:bidi w:val="0"/>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生产线节拍13.8分钟/框，折合3.32分钟/辆份，单班定员52人。具体工艺定员详见下表：</w:t>
      </w:r>
    </w:p>
    <w:tbl>
      <w:tblPr>
        <w:tblStyle w:val="30"/>
        <w:tblW w:w="88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13"/>
        <w:gridCol w:w="780"/>
        <w:gridCol w:w="1400"/>
        <w:gridCol w:w="3047"/>
        <w:gridCol w:w="870"/>
        <w:gridCol w:w="1215"/>
      </w:tblGrid>
      <w:tr w14:paraId="0A8E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15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A61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产线名称</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FA24">
            <w:pPr>
              <w:keepNext w:val="0"/>
              <w:keepLines w:val="0"/>
              <w:widowControl/>
              <w:suppressLineNumbers w:val="0"/>
              <w:jc w:val="center"/>
              <w:textAlignment w:val="center"/>
              <w:rPr>
                <w:rFonts w:hint="default"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标准节拍/min</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A1F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生产工序</w:t>
            </w:r>
          </w:p>
        </w:tc>
        <w:tc>
          <w:tcPr>
            <w:tcW w:w="30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1BDD">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工序职责</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E7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标准定员</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9C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工种类型</w:t>
            </w:r>
          </w:p>
        </w:tc>
      </w:tr>
      <w:tr w14:paraId="39033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13" w:type="dxa"/>
            <w:vMerge w:val="restart"/>
            <w:tcBorders>
              <w:top w:val="single" w:color="000000" w:sz="4" w:space="0"/>
              <w:left w:val="single" w:color="000000" w:sz="4" w:space="0"/>
              <w:right w:val="single" w:color="000000" w:sz="4" w:space="0"/>
            </w:tcBorders>
            <w:shd w:val="clear" w:color="auto" w:fill="auto"/>
            <w:vAlign w:val="center"/>
          </w:tcPr>
          <w:p w14:paraId="031B8682">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纵梁电泳线</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401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0A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行车卸料/AGV上料</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61736">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kern w:val="0"/>
                <w:sz w:val="24"/>
                <w:szCs w:val="24"/>
                <w:highlight w:val="none"/>
                <w:lang w:val="en-US" w:eastAsia="zh-CN"/>
              </w:rPr>
              <w:t>操作行车卸料及上料，操作AGV上料</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9617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A33E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eastAsia="zh-CN"/>
              </w:rPr>
            </w:pPr>
            <w:r>
              <w:rPr>
                <w:rFonts w:hint="eastAsia" w:ascii="仿宋" w:hAnsi="仿宋" w:eastAsia="仿宋" w:cs="仿宋"/>
                <w:color w:val="000000"/>
                <w:kern w:val="0"/>
                <w:sz w:val="24"/>
                <w:szCs w:val="24"/>
                <w:highlight w:val="none"/>
                <w:lang w:val="en-US" w:eastAsia="zh-CN"/>
              </w:rPr>
              <w:t>操作工</w:t>
            </w:r>
          </w:p>
        </w:tc>
      </w:tr>
      <w:tr w14:paraId="68CCF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8DBE9">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8151">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DF4C">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KBK</w:t>
            </w:r>
            <w:r>
              <w:rPr>
                <w:rFonts w:hint="eastAsia" w:ascii="仿宋" w:hAnsi="仿宋" w:eastAsia="仿宋" w:cs="仿宋"/>
                <w:i w:val="0"/>
                <w:iCs w:val="0"/>
                <w:color w:val="000000"/>
                <w:kern w:val="0"/>
                <w:sz w:val="24"/>
                <w:szCs w:val="24"/>
                <w:highlight w:val="none"/>
                <w:u w:val="none"/>
                <w:lang w:val="en-US" w:eastAsia="zh-CN" w:bidi="ar"/>
              </w:rPr>
              <w:tab/>
            </w:r>
            <w:r>
              <w:rPr>
                <w:rFonts w:hint="eastAsia" w:ascii="仿宋" w:hAnsi="仿宋" w:eastAsia="仿宋" w:cs="仿宋"/>
                <w:i w:val="0"/>
                <w:iCs w:val="0"/>
                <w:color w:val="000000"/>
                <w:kern w:val="0"/>
                <w:sz w:val="24"/>
                <w:szCs w:val="24"/>
                <w:highlight w:val="none"/>
                <w:u w:val="none"/>
                <w:lang w:val="en-US" w:eastAsia="zh-CN" w:bidi="ar"/>
              </w:rPr>
              <w:t>上料</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E553A">
            <w:pPr>
              <w:keepNext w:val="0"/>
              <w:keepLines w:val="0"/>
              <w:widowControl/>
              <w:suppressLineNumbers w:val="0"/>
              <w:jc w:val="left"/>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负责操作纵梁KBK上料</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AEF12">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0027">
            <w:pPr>
              <w:keepNext w:val="0"/>
              <w:keepLines w:val="0"/>
              <w:widowControl/>
              <w:suppressLineNumbers w:val="0"/>
              <w:jc w:val="center"/>
              <w:textAlignment w:val="center"/>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操作工</w:t>
            </w:r>
          </w:p>
        </w:tc>
      </w:tr>
      <w:tr w14:paraId="2CF5D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0CAE9">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9AD4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F032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质检员</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DD08D">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负责对纵梁外观进行检验</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C965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C2A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1653E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B1705">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E1C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C79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行车工</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B180">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负责操作行车</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565D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BE7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行车工</w:t>
            </w:r>
          </w:p>
        </w:tc>
      </w:tr>
      <w:tr w14:paraId="2BE76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3FF34">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B029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3F5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巡线</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E0E0">
            <w:pPr>
              <w:keepNext w:val="0"/>
              <w:keepLines w:val="0"/>
              <w:widowControl/>
              <w:suppressLineNumbers w:val="0"/>
              <w:jc w:val="left"/>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负责24小时巡线及添加料</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7F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2875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179B9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F651A">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DB5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3F44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管理</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F27B">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现场调度外包整体人员的安全、质量、生产、现场5S等工作</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78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2EB6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1F26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45DB2">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6D8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2.58</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DC4C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维修</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59E1D">
            <w:pPr>
              <w:keepNext w:val="0"/>
              <w:keepLines w:val="0"/>
              <w:widowControl/>
              <w:suppressLineNumbers w:val="0"/>
              <w:jc w:val="left"/>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sz w:val="24"/>
                <w:szCs w:val="24"/>
                <w:highlight w:val="none"/>
                <w:lang w:val="en-US" w:eastAsia="zh-CN"/>
              </w:rPr>
              <w:t>负责设备日常维护及一般故障的处理</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9BAD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0603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5E9CA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0A48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横梁电泳线</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9A5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727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装挂</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F537">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kern w:val="0"/>
                <w:sz w:val="24"/>
                <w:szCs w:val="24"/>
                <w:highlight w:val="none"/>
                <w:lang w:val="en-US" w:eastAsia="zh-CN"/>
              </w:rPr>
              <w:t>将横梁等散件上料至料框</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422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DC16">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20003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78BE9">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9717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FC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上料</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54EC9">
            <w:pPr>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操作行车上料</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215A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73C88">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行车工</w:t>
            </w:r>
          </w:p>
        </w:tc>
      </w:tr>
      <w:tr w14:paraId="1715A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529D3">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9A9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A00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下料</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CE26F">
            <w:pPr>
              <w:jc w:val="left"/>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操作行车下料</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730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6C19">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行车工</w:t>
            </w:r>
          </w:p>
        </w:tc>
      </w:tr>
      <w:tr w14:paraId="07519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90CAC">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626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C51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摘挂、修补、检验</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9124">
            <w:pPr>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将横梁</w:t>
            </w:r>
            <w:r>
              <w:rPr>
                <w:rFonts w:hint="eastAsia" w:ascii="仿宋" w:hAnsi="仿宋" w:eastAsia="仿宋" w:cs="仿宋"/>
                <w:sz w:val="24"/>
                <w:szCs w:val="24"/>
                <w:highlight w:val="none"/>
                <w:lang w:val="en-US" w:eastAsia="zh-CN"/>
              </w:rPr>
              <w:t>及散件</w:t>
            </w:r>
            <w:r>
              <w:rPr>
                <w:rFonts w:hint="eastAsia" w:ascii="仿宋" w:hAnsi="仿宋" w:eastAsia="仿宋" w:cs="仿宋"/>
                <w:sz w:val="24"/>
                <w:szCs w:val="24"/>
                <w:highlight w:val="none"/>
              </w:rPr>
              <w:t>从料框上调运下来，质检横梁电泳</w:t>
            </w:r>
            <w:r>
              <w:rPr>
                <w:rFonts w:hint="eastAsia" w:ascii="仿宋" w:hAnsi="仿宋" w:eastAsia="仿宋" w:cs="仿宋"/>
                <w:sz w:val="24"/>
                <w:szCs w:val="24"/>
                <w:highlight w:val="none"/>
                <w:lang w:val="en-US" w:eastAsia="zh-CN"/>
              </w:rPr>
              <w:t>漆膜</w:t>
            </w:r>
            <w:r>
              <w:rPr>
                <w:rFonts w:hint="eastAsia" w:ascii="仿宋" w:hAnsi="仿宋" w:eastAsia="仿宋" w:cs="仿宋"/>
                <w:sz w:val="24"/>
                <w:szCs w:val="24"/>
                <w:highlight w:val="none"/>
              </w:rPr>
              <w:t>厚度及外观质量，对横梁外观表面质量不合格处进行修磨。</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84CA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0B68">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叉车工</w:t>
            </w:r>
          </w:p>
        </w:tc>
      </w:tr>
      <w:tr w14:paraId="3553E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8B069">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9EF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BFB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叉车工</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7131">
            <w:pPr>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操作叉车卸货、运输产品件及工位器具</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5967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3209E">
            <w:pPr>
              <w:autoSpaceDE w:val="0"/>
              <w:autoSpaceDN w:val="0"/>
              <w:adjustRightInd w:val="0"/>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叉车工</w:t>
            </w:r>
          </w:p>
        </w:tc>
      </w:tr>
      <w:tr w14:paraId="5727B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A43BF">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806B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4398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巡线工</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346E5">
            <w:pPr>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负责24小时巡线及添加料</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4AA3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768A1">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173C8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3FD11">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F29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2C5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物流配送</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2A50">
            <w:pPr>
              <w:jc w:val="left"/>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物流配送--制造部确认更改</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9A76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1F2F3">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r w14:paraId="466B3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DBDACD">
            <w:pPr>
              <w:jc w:val="center"/>
              <w:rPr>
                <w:rFonts w:hint="eastAsia" w:ascii="仿宋" w:hAnsi="仿宋" w:eastAsia="仿宋" w:cs="仿宋"/>
                <w:i w:val="0"/>
                <w:iCs w:val="0"/>
                <w:color w:val="000000"/>
                <w:sz w:val="24"/>
                <w:szCs w:val="24"/>
                <w:highlight w:val="none"/>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CF1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3.32</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A5B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物资、配货</w:t>
            </w:r>
          </w:p>
        </w:tc>
        <w:tc>
          <w:tcPr>
            <w:tcW w:w="3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DDFB">
            <w:pPr>
              <w:jc w:val="left"/>
              <w:rPr>
                <w:rFonts w:hint="eastAsia" w:ascii="仿宋" w:hAnsi="仿宋" w:eastAsia="仿宋" w:cs="仿宋"/>
                <w:kern w:val="2"/>
                <w:sz w:val="24"/>
                <w:szCs w:val="24"/>
                <w:highlight w:val="none"/>
                <w:lang w:val="en-US" w:eastAsia="zh-CN" w:bidi="ar-SA"/>
              </w:rPr>
            </w:pPr>
            <w:r>
              <w:rPr>
                <w:rFonts w:hint="eastAsia" w:ascii="仿宋" w:hAnsi="仿宋" w:eastAsia="仿宋" w:cs="仿宋"/>
                <w:kern w:val="0"/>
                <w:sz w:val="24"/>
                <w:szCs w:val="24"/>
                <w:highlight w:val="none"/>
                <w:lang w:val="en-US" w:eastAsia="zh-CN"/>
              </w:rPr>
              <w:t>产品分拣与投送</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F12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2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7AED">
            <w:pPr>
              <w:autoSpaceDE w:val="0"/>
              <w:autoSpaceDN w:val="0"/>
              <w:adjustRightInd w:val="0"/>
              <w:jc w:val="center"/>
              <w:rPr>
                <w:rFonts w:hint="eastAsia" w:ascii="仿宋" w:hAnsi="仿宋" w:eastAsia="仿宋" w:cs="仿宋"/>
                <w:i w:val="0"/>
                <w:iCs w:val="0"/>
                <w:color w:val="000000"/>
                <w:sz w:val="24"/>
                <w:szCs w:val="24"/>
                <w:highlight w:val="none"/>
                <w:u w:val="none"/>
              </w:rPr>
            </w:pPr>
            <w:r>
              <w:rPr>
                <w:rFonts w:hint="eastAsia" w:ascii="仿宋" w:hAnsi="仿宋" w:eastAsia="仿宋" w:cs="仿宋"/>
                <w:color w:val="000000"/>
                <w:kern w:val="0"/>
                <w:sz w:val="24"/>
                <w:szCs w:val="24"/>
                <w:highlight w:val="none"/>
                <w:lang w:val="en-US" w:eastAsia="zh-CN"/>
              </w:rPr>
              <w:t>操作工</w:t>
            </w:r>
          </w:p>
        </w:tc>
      </w:tr>
    </w:tbl>
    <w:p w14:paraId="4BC22727">
      <w:pPr>
        <w:pageBreakBefore w:val="0"/>
        <w:widowControl w:val="0"/>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_GB2312" w:hAnsi="仿宋_GB2312" w:cs="仿宋_GB2312"/>
          <w:sz w:val="28"/>
          <w:szCs w:val="28"/>
          <w:highlight w:val="none"/>
        </w:rPr>
      </w:pPr>
      <w:r>
        <w:rPr>
          <w:rFonts w:hint="eastAsia" w:ascii="仿宋_GB2312" w:hAnsi="仿宋_GB2312" w:cs="仿宋_GB2312"/>
          <w:sz w:val="28"/>
          <w:szCs w:val="28"/>
          <w:highlight w:val="none"/>
        </w:rPr>
        <w:t>日常管理人员：外包方需明确具体的现场管理负责人。负责外包日常管理，</w:t>
      </w:r>
      <w:r>
        <w:rPr>
          <w:rFonts w:hint="eastAsia" w:ascii="仿宋_GB2312" w:hAnsi="仿宋_GB2312" w:cs="仿宋_GB2312"/>
          <w:sz w:val="28"/>
          <w:szCs w:val="28"/>
          <w:highlight w:val="none"/>
          <w:lang w:val="en-US" w:eastAsia="zh-CN"/>
        </w:rPr>
        <w:t>与卡车公司</w:t>
      </w:r>
      <w:r>
        <w:rPr>
          <w:rFonts w:hint="eastAsia" w:ascii="仿宋_GB2312" w:hAnsi="仿宋_GB2312" w:cs="仿宋_GB2312"/>
          <w:sz w:val="28"/>
          <w:szCs w:val="28"/>
          <w:highlight w:val="none"/>
        </w:rPr>
        <w:t>对接、协调安全、质量、生产、成本、设备、工艺、现场等基础管理工作。管理依据重汽现场管理标准，培训、考勤、操作技能等同正式工要求。</w:t>
      </w:r>
    </w:p>
    <w:p w14:paraId="7DAA26F4">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jc w:val="left"/>
        <w:textAlignment w:val="auto"/>
        <w:outlineLvl w:val="9"/>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val="en-US" w:eastAsia="zh-CN"/>
        </w:rPr>
        <w:t>4、人</w:t>
      </w:r>
      <w:r>
        <w:rPr>
          <w:rFonts w:hint="eastAsia" w:ascii="仿宋" w:hAnsi="仿宋" w:eastAsia="仿宋" w:cs="仿宋"/>
          <w:b/>
          <w:bCs/>
          <w:sz w:val="28"/>
          <w:szCs w:val="28"/>
          <w:highlight w:val="none"/>
        </w:rPr>
        <w:t>员管理及岗位优化</w:t>
      </w:r>
    </w:p>
    <w:p w14:paraId="51F854B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jc w:val="left"/>
        <w:textAlignment w:val="auto"/>
        <w:outlineLvl w:val="9"/>
        <w:rPr>
          <w:rFonts w:hint="eastAsia" w:ascii="仿宋" w:hAnsi="仿宋" w:eastAsia="仿宋" w:cs="仿宋"/>
          <w:b w:val="0"/>
          <w:bCs w:val="0"/>
          <w:sz w:val="28"/>
          <w:szCs w:val="28"/>
          <w:highlight w:val="none"/>
          <w:lang w:eastAsia="zh-CN"/>
        </w:rPr>
      </w:pPr>
      <w:r>
        <w:rPr>
          <w:rFonts w:hint="eastAsia" w:ascii="仿宋_GB2312" w:hAnsi="仿宋_GB2312" w:cs="仿宋_GB2312"/>
          <w:sz w:val="28"/>
          <w:szCs w:val="28"/>
          <w:highlight w:val="none"/>
          <w:lang w:val="en-US" w:eastAsia="zh-CN"/>
        </w:rPr>
        <w:t xml:space="preserve">    </w:t>
      </w:r>
      <w:r>
        <w:rPr>
          <w:rFonts w:hint="eastAsia" w:ascii="仿宋" w:hAnsi="仿宋" w:eastAsia="仿宋" w:cs="仿宋"/>
          <w:b w:val="0"/>
          <w:bCs w:val="0"/>
          <w:sz w:val="28"/>
          <w:szCs w:val="28"/>
          <w:highlight w:val="none"/>
        </w:rPr>
        <w:t>4.1技术与专业知识</w:t>
      </w:r>
    </w:p>
    <w:p w14:paraId="2D04CD10">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exact"/>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lang w:val="en-US" w:eastAsia="zh-CN"/>
        </w:rPr>
        <w:t xml:space="preserve">    </w:t>
      </w:r>
      <w:r>
        <w:rPr>
          <w:rFonts w:hint="eastAsia" w:ascii="仿宋" w:hAnsi="仿宋" w:eastAsia="仿宋" w:cs="仿宋"/>
          <w:b w:val="0"/>
          <w:bCs w:val="0"/>
          <w:sz w:val="28"/>
          <w:szCs w:val="28"/>
          <w:highlight w:val="none"/>
        </w:rPr>
        <w:t>外包方应该储备充足的专业操作人员及生产管理、技术质量人员，负责新进人员的技能培训。新进人员需符合安全及环保职业健康要求，培训合格后方可上岗。</w:t>
      </w:r>
    </w:p>
    <w:p w14:paraId="6E3B3C3B">
      <w:pPr>
        <w:pageBreakBefore w:val="0"/>
        <w:widowControl w:val="0"/>
        <w:numPr>
          <w:ilvl w:val="0"/>
          <w:numId w:val="0"/>
        </w:numPr>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4.2人员管理</w:t>
      </w:r>
    </w:p>
    <w:p w14:paraId="340ED607">
      <w:pPr>
        <w:pageBreakBefore w:val="0"/>
        <w:widowControl w:val="0"/>
        <w:numPr>
          <w:ilvl w:val="0"/>
          <w:numId w:val="0"/>
        </w:numPr>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4.2.1合同签订：外包方应按照</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公司相关要求，组织业务开展，负责对所用人员的管理，包括签署劳动合同、购买工伤保险、支付报酬等，并确保派驻至</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的人员均已签署正式劳动合同，同时需确保人员稳定性，出现人员更换时，新进人员应熟练掌握业务技能，并符合相关安全及环保职业健康要求，如人员离职，需提前7天告知，新人员到岗培训合格后，人员方可离职。</w:t>
      </w:r>
    </w:p>
    <w:p w14:paraId="4D4AC166">
      <w:pPr>
        <w:pageBreakBefore w:val="0"/>
        <w:widowControl w:val="0"/>
        <w:numPr>
          <w:ilvl w:val="0"/>
          <w:numId w:val="0"/>
        </w:numPr>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4.2.2人员要求：外包方必须按照工艺定员配置人员，不允许因人员问题影响生产秩序。外包方需建立人员储备预案，保证产品保质保量按期交付。</w:t>
      </w:r>
    </w:p>
    <w:p w14:paraId="0C6AFBEC">
      <w:pPr>
        <w:pageBreakBefore w:val="0"/>
        <w:widowControl w:val="0"/>
        <w:numPr>
          <w:ilvl w:val="0"/>
          <w:numId w:val="0"/>
        </w:numPr>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4.2.3出勤管理：外包方对业务承包范围内的人员出勤情况负责，要求外包单位人员通过</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公司考勤系统进行打卡，</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公司每月统计外包单位考勤情况。外包方要保留员工考勤原始数据，</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公司定期对外包方考勤记录进行核实。出勤期间，外包单位人员要严格遵守</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公司各项劳动纪律，多次违反或严重违反劳动纪律的，予以辞退。</w:t>
      </w:r>
    </w:p>
    <w:p w14:paraId="22FEEDDD">
      <w:pPr>
        <w:pageBreakBefore w:val="0"/>
        <w:widowControl w:val="0"/>
        <w:numPr>
          <w:ilvl w:val="0"/>
          <w:numId w:val="0"/>
        </w:numPr>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4.2.4文化认同：外包单位员工在</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公司工作期间，需认同企业文化，奉公守法，如有违反中国重汽集团管理规定或触犯国家法律法规的，予以辞退。</w:t>
      </w:r>
    </w:p>
    <w:p w14:paraId="0416E4D4">
      <w:pPr>
        <w:pageBreakBefore w:val="0"/>
        <w:widowControl w:val="0"/>
        <w:numPr>
          <w:ilvl w:val="0"/>
          <w:numId w:val="0"/>
        </w:numPr>
        <w:kinsoku/>
        <w:wordWrap/>
        <w:overflowPunct/>
        <w:topLinePunct w:val="0"/>
        <w:autoSpaceDE w:val="0"/>
        <w:autoSpaceDN w:val="0"/>
        <w:bidi w:val="0"/>
        <w:adjustRightInd w:val="0"/>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4.2.5安全责任：外包单位人员需经过三级安全教育，熟知安全操作规程及现场各种警示标识，并保留相关培训记录，</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公司按规定对各级培训记录进行核查。因外包单位人员未按照安全操作规程和作业指导书违章操作，导致产生安全、质量、生产事故，由外包方承担所有损失，如因此给</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公司或第三方造成任何损失，外包方承担全部赔偿责任。</w:t>
      </w:r>
    </w:p>
    <w:p w14:paraId="5CEE2B70">
      <w:pPr>
        <w:keepNext/>
        <w:keepLines/>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both"/>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4.2.6保密义务：需对合作过程中的接触到的所有文件内容和数据、信息等保密，如因此给</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公司或第三方造成任何损失，外包方应承担赔偿责任。</w:t>
      </w:r>
    </w:p>
    <w:p w14:paraId="644663B1">
      <w:pPr>
        <w:keepNext/>
        <w:keepLines/>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both"/>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4.2.7生活费用：外包方员工的乘用车及食宿费用由外包方自行解决。</w:t>
      </w:r>
    </w:p>
    <w:p w14:paraId="2CE64AA1">
      <w:pPr>
        <w:keepNext/>
        <w:keepLines/>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both"/>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4.2.8岗位优化</w:t>
      </w:r>
      <w:r>
        <w:rPr>
          <w:rFonts w:hint="eastAsia" w:ascii="仿宋" w:hAnsi="仿宋" w:eastAsia="仿宋" w:cs="仿宋"/>
          <w:b w:val="0"/>
          <w:bCs w:val="0"/>
          <w:sz w:val="28"/>
          <w:szCs w:val="28"/>
          <w:highlight w:val="none"/>
          <w:lang w:eastAsia="zh-CN"/>
        </w:rPr>
        <w:t>：</w:t>
      </w:r>
      <w:r>
        <w:rPr>
          <w:rFonts w:hint="eastAsia" w:ascii="仿宋" w:hAnsi="仿宋" w:eastAsia="仿宋" w:cs="仿宋"/>
          <w:b w:val="0"/>
          <w:bCs w:val="0"/>
          <w:sz w:val="28"/>
          <w:szCs w:val="28"/>
          <w:highlight w:val="none"/>
          <w:lang w:val="en-US" w:eastAsia="zh-CN"/>
        </w:rPr>
        <w:t>电泳线</w:t>
      </w:r>
      <w:r>
        <w:rPr>
          <w:rFonts w:hint="eastAsia" w:ascii="仿宋" w:hAnsi="仿宋" w:eastAsia="仿宋" w:cs="仿宋"/>
          <w:b w:val="0"/>
          <w:bCs w:val="0"/>
          <w:sz w:val="28"/>
          <w:szCs w:val="28"/>
          <w:highlight w:val="none"/>
        </w:rPr>
        <w:t>项目全部工序遵从</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公司对于工艺、人员优化的安排。</w:t>
      </w:r>
    </w:p>
    <w:p w14:paraId="29AD37AB">
      <w:pPr>
        <w:keepNext/>
        <w:keepLines/>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both"/>
        <w:textAlignment w:val="auto"/>
        <w:outlineLvl w:val="9"/>
        <w:rPr>
          <w:rFonts w:hint="eastAsia" w:ascii="仿宋_GB2312" w:hAnsi="仿宋_GB2312" w:cs="仿宋_GB2312"/>
          <w:sz w:val="28"/>
          <w:szCs w:val="28"/>
          <w:highlight w:val="none"/>
        </w:rPr>
      </w:pPr>
      <w:r>
        <w:rPr>
          <w:rFonts w:hint="eastAsia" w:ascii="仿宋" w:hAnsi="仿宋" w:eastAsia="仿宋" w:cs="仿宋"/>
          <w:b w:val="0"/>
          <w:bCs w:val="0"/>
          <w:sz w:val="28"/>
          <w:szCs w:val="28"/>
          <w:highlight w:val="none"/>
        </w:rPr>
        <w:t>4.2.9职业健康：外包方应按照</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公司对职业危害的要求开展岗前、岗中、岗后查体及相关培训，结果向</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公司进行报备。查体及培训不合格人员严禁进入相关岗位。</w:t>
      </w:r>
    </w:p>
    <w:p w14:paraId="2B1A8462">
      <w:pPr>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5、设备管理</w:t>
      </w:r>
    </w:p>
    <w:p w14:paraId="5D79B133">
      <w:pPr>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rPr>
        <w:t>5.1明确设备管理责任</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公司对设备完好和维护保养负责，并对外包方提出具体使用要求和培训设备相关操作规程，外包方应根据管理制度和作业指导书，做好设备的日常使用和维护。</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公司对上岗人员开展岗前的设备培训工作，定期对设备的操作者进行培训和指导，确保一线操作人员持证上岗，并了解设备的使用情况和维护情况。</w:t>
      </w:r>
      <w:r>
        <w:rPr>
          <w:rFonts w:hint="eastAsia" w:ascii="仿宋" w:hAnsi="仿宋" w:eastAsia="仿宋" w:cs="仿宋"/>
          <w:b w:val="0"/>
          <w:bCs w:val="0"/>
          <w:sz w:val="28"/>
          <w:szCs w:val="28"/>
          <w:highlight w:val="none"/>
          <w:lang w:val="en-US" w:eastAsia="zh-CN"/>
        </w:rPr>
        <w:t xml:space="preserve">       </w:t>
      </w:r>
    </w:p>
    <w:p w14:paraId="4F322256">
      <w:pPr>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5.2设备管理具体说明</w:t>
      </w:r>
    </w:p>
    <w:p w14:paraId="3E69EC40">
      <w:pPr>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5.2.1厂区设备所有权归</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公司所有。</w:t>
      </w:r>
    </w:p>
    <w:p w14:paraId="34595B37">
      <w:pPr>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5.2.2</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公司在设备EAM系统中开展设备自主保全及定期维护，制定并更新设备日常维护基准及定期维护基准。外包方根据设备说明书及</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公司要求，严格按照设备管理系统中任务开展其负责的设备自主保全及定期维护作业内容，</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公司按计划对设备维保情况及点检记录进行检查。维护保养所使用易耗品（如清洁剂、润滑油等）、易损件、非使用不当或者操作不当原因造成需更换设备备件的，均由</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公司提供相应设备备件。</w:t>
      </w:r>
    </w:p>
    <w:p w14:paraId="65279F7D">
      <w:pPr>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5.2.3外包方需确保设备保持完好状态，若设备发生故障或者出现异常，需立即向</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公司汇报，由</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公司负责现场确认后判定故障责任；非使用不当或者操作不当原因造成设备的项修及大修均由</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公司负责；</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公司对设备保养情况、设备状态、设备使用进行检查，对未按要求进行维保，设备状态异常，违规使用设备情况进行通报，情况严重时按照规定对外包方进行考核。</w:t>
      </w:r>
    </w:p>
    <w:p w14:paraId="5F50E39C">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5.2.4外包方必须遵守</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公司设备安全操作规程以及标准作业要求，因外包方操作失误或维护不当，引起的设备故障，产生的设备维修费用及停产损失全部由外包方负责。如果外包方拒不执行修复工作，或设备维修后达不到</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公司要求，</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公司可自行组织对设备维修、保全，所发生费用以及</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公司停产所造成损失，由外包方承担。</w:t>
      </w:r>
    </w:p>
    <w:p w14:paraId="31C4A231">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rPr>
      </w:pPr>
      <w:r>
        <w:rPr>
          <w:rFonts w:hint="eastAsia" w:ascii="仿宋" w:hAnsi="仿宋" w:eastAsia="仿宋" w:cs="仿宋"/>
          <w:b w:val="0"/>
          <w:bCs w:val="0"/>
          <w:sz w:val="28"/>
          <w:szCs w:val="28"/>
          <w:highlight w:val="none"/>
        </w:rPr>
        <w:t>5.2.5外包方设备操作人员必须经过安全和技能培训，根据</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公司要求取得设备操作资质，持证上岗；无证人员不得操作设备。因外包方人员的违规作业导致产生安全、质量、生产事故，由外包方承担所有损失，如因此给</w:t>
      </w:r>
      <w:r>
        <w:rPr>
          <w:rFonts w:hint="eastAsia" w:ascii="仿宋" w:hAnsi="仿宋" w:eastAsia="仿宋" w:cs="仿宋"/>
          <w:b w:val="0"/>
          <w:bCs w:val="0"/>
          <w:sz w:val="28"/>
          <w:szCs w:val="28"/>
          <w:highlight w:val="none"/>
          <w:lang w:val="en-US" w:eastAsia="zh-CN"/>
        </w:rPr>
        <w:t>卡车</w:t>
      </w:r>
      <w:r>
        <w:rPr>
          <w:rFonts w:hint="eastAsia" w:ascii="仿宋" w:hAnsi="仿宋" w:eastAsia="仿宋" w:cs="仿宋"/>
          <w:b w:val="0"/>
          <w:bCs w:val="0"/>
          <w:sz w:val="28"/>
          <w:szCs w:val="28"/>
          <w:highlight w:val="none"/>
        </w:rPr>
        <w:t>公司或第三方造成任何损失，外包方承担全部赔偿责任。</w:t>
      </w:r>
    </w:p>
    <w:p w14:paraId="659F8AA6">
      <w:pPr>
        <w:pageBreakBefore w:val="0"/>
        <w:widowControl w:val="0"/>
        <w:numPr>
          <w:ilvl w:val="0"/>
          <w:numId w:val="31"/>
        </w:numPr>
        <w:kinsoku/>
        <w:wordWrap/>
        <w:overflowPunct/>
        <w:topLinePunct w:val="0"/>
        <w:autoSpaceDE/>
        <w:autoSpaceDN/>
        <w:bidi w:val="0"/>
        <w:adjustRightInd/>
        <w:snapToGrid/>
        <w:spacing w:line="360" w:lineRule="exact"/>
        <w:jc w:val="lef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bCs/>
          <w:sz w:val="28"/>
          <w:szCs w:val="28"/>
          <w:highlight w:val="none"/>
          <w:lang w:val="en-US" w:eastAsia="zh-CN"/>
        </w:rPr>
        <w:t>物料计划</w:t>
      </w:r>
    </w:p>
    <w:p w14:paraId="15B53D84">
      <w:pPr>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6.1生产作业计划</w:t>
      </w:r>
    </w:p>
    <w:p w14:paraId="0BB061E2">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6.1.1根据卡车公司下发的生产计划，制定电泳线作业计划，保证电泳后产品及时流转至下一工序。</w:t>
      </w:r>
    </w:p>
    <w:p w14:paraId="478CF580">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6.1.2紧急调整：紧急情况下，卡车公司因特殊原因，需要紧急调整生产作业计划时，需及时通知外包方，并提供相关支持，外包方必须全力配合保证生产；外包方因特殊原因，需要调整生产计划时，必须经卡车公司同意后方可实施，以保证生产秩序稳定。</w:t>
      </w:r>
    </w:p>
    <w:p w14:paraId="31D73054">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6.2物资管理</w:t>
      </w:r>
    </w:p>
    <w:p w14:paraId="69C83370">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6.2.1记录台账管理：外包方加强物资的管控，确保现场实物与系统信息一致。</w:t>
      </w:r>
    </w:p>
    <w:p w14:paraId="779BEF5E">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6.2.2物资盘点：卡车公司负责对盘点工作进行监管，外包方应按照卡车公司要求，对属于外包方管理区域内的物资进行盘点，并形成盘点报告，外包方对盘点结果数据准确性负责。</w:t>
      </w:r>
    </w:p>
    <w:p w14:paraId="10473BAB">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6.2.3盘点监督：卡车公司负责对外包方的记录、盘点工作进行监督、核对，并有权对外包方的工作失误予以考核。</w:t>
      </w:r>
    </w:p>
    <w:p w14:paraId="12D819DB">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6.2.4原辅材料以及低值易耗品领用：外包方应按照卡车公司制定的产品工艺定额领用物料，生产中所用的各类辅料由卡车公司提供，按需领取，外包方不得使用卡车公司规定范围外的物料。外包方需指定专人负责对领取的物料进行妥善管理，包括物料的接收、消耗、领用等全过程。卡车公司负责对外包方生产过程中发生的低值易耗、辅料等的数量进行监控。</w:t>
      </w:r>
    </w:p>
    <w:p w14:paraId="7659B918">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6.2.5工装器具：生产过程中所需工装、工具和工位器具等，由卡车公司提供。</w:t>
      </w:r>
    </w:p>
    <w:p w14:paraId="7D682A85">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6.2.6能源消耗：外包业务所需的压缩空气、水、电、天然气等能源费用由卡车公司承担。</w:t>
      </w:r>
    </w:p>
    <w:p w14:paraId="045F38BD">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6.2.7劳保用品：外包方员工使用的工作服、劳保鞋、手套、防毒口罩等由外包方自行解决，费用由外包方承担。</w:t>
      </w:r>
    </w:p>
    <w:p w14:paraId="7FC2CBC1">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6.2.8废料：日常生产所产生的废料，按照卡车公司要求规范储存、转运到指定位置。</w:t>
      </w:r>
    </w:p>
    <w:p w14:paraId="14EC8A75">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6.2.9物资以及器具摆放：外包方应执行卡车公司现场管理要求，规范使用工装、工具和工位器具，并按定置定位摆放整齐，不准出现超高、杂乱、混放、磕碰等现象，执行卡车公司现场物资管理标准。</w:t>
      </w:r>
    </w:p>
    <w:p w14:paraId="7005C3A2">
      <w:pPr>
        <w:pageBreakBefore w:val="0"/>
        <w:widowControl w:val="0"/>
        <w:kinsoku/>
        <w:wordWrap/>
        <w:overflowPunct/>
        <w:topLinePunct w:val="0"/>
        <w:autoSpaceDE/>
        <w:autoSpaceDN/>
        <w:bidi w:val="0"/>
        <w:adjustRightInd/>
        <w:snapToGrid/>
        <w:spacing w:line="360" w:lineRule="exact"/>
        <w:ind w:firstLine="560" w:firstLineChars="200"/>
        <w:textAlignment w:val="auto"/>
        <w:outlineLvl w:val="9"/>
        <w:rPr>
          <w:rFonts w:hint="eastAsia" w:ascii="仿宋" w:hAnsi="仿宋" w:eastAsia="仿宋" w:cs="仿宋"/>
          <w:sz w:val="28"/>
          <w:szCs w:val="28"/>
          <w:highlight w:val="none"/>
          <w:lang w:val="en-US" w:eastAsia="zh-CN"/>
        </w:rPr>
      </w:pPr>
      <w:r>
        <w:rPr>
          <w:rFonts w:hint="eastAsia" w:ascii="仿宋" w:hAnsi="仿宋" w:eastAsia="仿宋" w:cs="仿宋"/>
          <w:b w:val="0"/>
          <w:bCs w:val="0"/>
          <w:sz w:val="28"/>
          <w:szCs w:val="28"/>
          <w:highlight w:val="none"/>
          <w:lang w:val="en-US" w:eastAsia="zh-CN"/>
        </w:rPr>
        <w:t>6.2.10现场管理：外包方负责相关工作区域内的卫生清理、保洁，执行公司“5S”管理要求，按照卡车公司要求存储、转运危废物品和各类垃圾等。</w:t>
      </w:r>
    </w:p>
    <w:p w14:paraId="6CDADDBA">
      <w:pPr>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7、工艺要求</w:t>
      </w:r>
    </w:p>
    <w:p w14:paraId="6E67767E">
      <w:pPr>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.1 </w:t>
      </w:r>
      <w:r>
        <w:rPr>
          <w:rFonts w:hint="eastAsia" w:ascii="仿宋" w:hAnsi="仿宋" w:eastAsia="仿宋" w:cs="仿宋"/>
          <w:color w:val="auto"/>
          <w:highlight w:val="none"/>
          <w:lang w:val="en-US" w:eastAsia="zh-CN"/>
        </w:rPr>
        <w:t>纵梁电泳：</w:t>
      </w:r>
      <w:r>
        <w:rPr>
          <w:rFonts w:hint="eastAsia" w:ascii="仿宋" w:hAnsi="仿宋" w:eastAsia="仿宋" w:cs="仿宋"/>
          <w:color w:val="auto"/>
          <w:highlight w:val="none"/>
        </w:rPr>
        <w:t>挂件前对挂具100%打磨。</w:t>
      </w:r>
    </w:p>
    <w:p w14:paraId="23EB6EE3">
      <w:pPr>
        <w:spacing w:line="36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.2 </w:t>
      </w:r>
      <w:r>
        <w:rPr>
          <w:rFonts w:hint="eastAsia" w:ascii="仿宋" w:hAnsi="仿宋" w:eastAsia="仿宋" w:cs="仿宋"/>
          <w:color w:val="auto"/>
          <w:highlight w:val="none"/>
          <w:lang w:val="en-US" w:eastAsia="zh-CN"/>
        </w:rPr>
        <w:t>纵梁电泳：</w:t>
      </w:r>
      <w:r>
        <w:rPr>
          <w:rFonts w:hint="eastAsia" w:ascii="仿宋" w:hAnsi="仿宋" w:eastAsia="仿宋" w:cs="仿宋"/>
          <w:color w:val="auto"/>
          <w:highlight w:val="none"/>
        </w:rPr>
        <w:t>对工件进行喷淋预脱脂。配槽脱脂剂浓度：2.5%</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喷淋压力：0.12-0.2MPa，检验频次：2次/班</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温度：50±5℃，检验频次：1次/2小时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游离碱度：9-12pt，检测频次：2次/班</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过滤器进出口压差≤0.05 MPa，检验频次：2次/班</w:t>
      </w:r>
      <w:r>
        <w:rPr>
          <w:rFonts w:hint="eastAsia" w:ascii="仿宋" w:hAnsi="仿宋" w:eastAsia="仿宋" w:cs="仿宋"/>
          <w:color w:val="auto"/>
          <w:highlight w:val="none"/>
          <w:lang w:eastAsia="zh-CN"/>
        </w:rPr>
        <w:t>。</w:t>
      </w:r>
    </w:p>
    <w:p w14:paraId="55004CA1">
      <w:pPr>
        <w:spacing w:line="36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横梁电泳：</w:t>
      </w:r>
      <w:r>
        <w:rPr>
          <w:rFonts w:hint="eastAsia" w:ascii="仿宋" w:hAnsi="仿宋" w:eastAsia="仿宋" w:cs="仿宋"/>
          <w:color w:val="auto"/>
          <w:highlight w:val="none"/>
        </w:rPr>
        <w:t>对工件进行浸渍预脱脂。配槽浓度：3%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温度：55±5℃，检验频次：1次/2小时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游离碱度：9-12pt，检测频次：2次/班</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过滤器进出口压力差：≤0.05MPa，检验频次：2次/班</w:t>
      </w:r>
      <w:r>
        <w:rPr>
          <w:rFonts w:hint="eastAsia" w:ascii="仿宋" w:hAnsi="仿宋" w:eastAsia="仿宋" w:cs="仿宋"/>
          <w:color w:val="auto"/>
          <w:highlight w:val="none"/>
          <w:lang w:eastAsia="zh-CN"/>
        </w:rPr>
        <w:t>。</w:t>
      </w:r>
    </w:p>
    <w:p w14:paraId="19F0D436">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7.3纵梁电泳：对工件进行喷淋脱脂。配槽脱脂剂浓度：2.5%。温度：45±5℃，检验频次：1次/2小时。游离碱度：9-12pt，检测频次：2次/班。过滤器进出口压差≤0.05 MPa，检验频次：2次/班。</w:t>
      </w:r>
    </w:p>
    <w:p w14:paraId="2A2F848F">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w:t>
      </w:r>
      <w:r>
        <w:rPr>
          <w:rFonts w:hint="eastAsia" w:ascii="仿宋" w:hAnsi="仿宋" w:eastAsia="仿宋" w:cs="仿宋"/>
          <w:color w:val="auto"/>
          <w:highlight w:val="none"/>
        </w:rPr>
        <w:t>对工件进行浸渍脱脂。配槽浓度：3%</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温度：50±5℃，检验频次：1次/2小时</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游离碱度：9-12pt，检测频次：2次/班</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过滤器进出口压力差：≤0.05MPa，检验频次：2次/班</w:t>
      </w:r>
      <w:r>
        <w:rPr>
          <w:rFonts w:hint="eastAsia" w:ascii="仿宋" w:hAnsi="仿宋" w:eastAsia="仿宋" w:cs="仿宋"/>
          <w:color w:val="auto"/>
          <w:highlight w:val="none"/>
          <w:lang w:eastAsia="zh-CN"/>
        </w:rPr>
        <w:t>。</w:t>
      </w:r>
    </w:p>
    <w:p w14:paraId="2CDD9A85">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7.4纵梁电泳：对工件进行第一次喷淋水洗。温度：室温。全碱度：≤2.0（超过后排放），检测频次：2次/班。</w:t>
      </w:r>
    </w:p>
    <w:p w14:paraId="6A05D5BC">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横梁电泳：对工件进行第一次浸渍水洗。温度：室温。全碱度：≤2.0（超过后排放），检验频次：2次/班。过滤器进出口压力差：≤0.05MPa，检验频次：2次/班。</w:t>
      </w:r>
    </w:p>
    <w:p w14:paraId="49719288">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7.5纵梁电泳：对工件进行第二次喷淋水洗。温度：室温。全碱度：≤0.5（超过后排放），检测频次：2次/班。</w:t>
      </w:r>
    </w:p>
    <w:p w14:paraId="373A662E">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横梁电泳：对工件进行浸渍+出槽喷淋水洗。（工业用水）温度：室温。全碱度：≤0.5（超过后排放），检验频次：2次/班。过滤器进出口压力差：≤0.05MPa，检验频次：2次/班。</w:t>
      </w:r>
    </w:p>
    <w:p w14:paraId="6CF8CE09">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7.6纵梁电泳：对工件进行喷淋表调。配槽浓度：3‰+1‰。点数：2.9-5.2pt，检验频次：2次/班。表调pH值：9.5-11.5，检验频次：2次/班。温度：室温，使用期限：≤2个月。</w:t>
      </w:r>
    </w:p>
    <w:p w14:paraId="6A67910D">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横梁电泳：对工件进行浸渍表调。表调pH值：9.5-11.5，检验频次：2次/班。配槽浓度：2.5‰。温度：室温。使用期限：30天-45天。</w:t>
      </w:r>
    </w:p>
    <w:p w14:paraId="4AE5E26C">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7.7纵梁电泳：工件浸入磷化槽中后对工件进行浸渍磷化。总酸度：22-24pt，检测频次：2次/班。游离酸度：0.6-1.0pt，检测频次：2次/班。促进剂点数：3.5-4.5pt，检测频次：2次/班。温度：36±3℃，检验频次：1次/2小时。</w:t>
      </w:r>
    </w:p>
    <w:p w14:paraId="3C0A5BEB">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工件浸入磷化槽中后对工件进行浸渍磷化。总酸度：22-24pt，检测频次：2次/班。游离酸度：0.6-1.0pt，检测频次：2次/班。促进剂点数：3.5-4.5pt，检测频次：2次/班。温度：39±3℃，检验频次：1次/2小时。时间：3min。泵循环能力：2-3 次/h。</w:t>
      </w:r>
    </w:p>
    <w:p w14:paraId="145BF251">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7.8纵、横梁电泳：对工件进行磷化后的第一次喷淋水洗。温度：室温。全酸度：≤1.0（超过后排放），检测频次：1次/班。</w:t>
      </w:r>
    </w:p>
    <w:p w14:paraId="176B7E68">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7.9纵梁电泳：对工件进行循环去离子水浸洗。过滤器进出口压差≤0.05 MPa，检验频次：2次/班。新鲜去离子水电导率≤10μs/cm，检测频次：1次/班。滴水电导率≤50μs/cm（超过后排放掉一部分，并用新鲜去离子水补充至液位），检测频次：1次/班。全酸度：≤0.5，检测频次：1次/班。</w:t>
      </w:r>
    </w:p>
    <w:p w14:paraId="0560E10A">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对工件进行第一次浸渍+出槽喷淋纯水洗。全酸度：≤0.5（超过后排放掉一部分，并用新鲜去离子水补充至液位），检测频次：1次/班。新鲜去离子水电导率≤10μs/cm，检测频次：1次/班。滴水电导≤50μs/cm，检测频次：1次/班。过滤器进出口压力差：≤0.05MPa，检验频次：2次/班。</w:t>
      </w:r>
    </w:p>
    <w:p w14:paraId="4B5C4C73">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7.10纵、横梁电泳：检查磷化膜外观质量。银灰色，均匀，致密，无浮灰，无流痕，不得泛黄，检验频次：1次/天，目测。</w:t>
      </w:r>
    </w:p>
    <w:p w14:paraId="49061242">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7.11纵梁电泳：工件电泳。温度：28-32℃，检验频次：1次/2小时。电泳槽液固体分：18-22%。槽液pH值：5.7-6.5。电导率：1200-2000µs/cm。灰分：0.14-0.18。电压：180-280V。阳极液电导率：400-600µs/cm。阳极液pH值：3-4。电泳槽液循环次数：4次/小时。检测频次：灰分1次/周；其它项目：1次/天。过滤器进出口压差≤0.07MPa，检验频次：2次/班。单个阳极管流量≥600ml/min，检验频次：2次/班，目测。</w:t>
      </w:r>
    </w:p>
    <w:p w14:paraId="519C736F">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工件电泳。电泳槽液固体分：18-22%。槽液pH值：5.7-6.5。电导率：1200-2000µs/cm。灰分：0.14-0.18。一段电压：120-180V，二段电压：200-280V。阳极液电导率：400-600µs/cm。阳极液pH值：3-4。电泳槽液循环次数：4次/小时。检测频次：灰分1次/周，其它项目1次/天。温度：28-32℃，检验频次：1次/2小时。过滤器进出口压力差：≤0.07MPa，检验频次：2次/班。</w:t>
      </w:r>
    </w:p>
    <w:p w14:paraId="3242EB0A">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7.12纵梁电泳：工件槽上循环超滤水喷淋。工作时槽上循环超滤水喷淋系统常开，工件上升离开液面时，接受一次循环超滤水喷淋。一次超滤水固体分≤2%，检测频次：1次/班。</w:t>
      </w:r>
    </w:p>
    <w:p w14:paraId="4C05FAA2">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横梁电泳：一次循环超滤水对工件进行浸渍水洗。温度：室温。一次超滤水固体分≤2%，检测频次：1次/班。过滤器进出口压力差：≤0.05MPa，检验频次：2次/班。</w:t>
      </w:r>
    </w:p>
    <w:p w14:paraId="70E4EE65">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7.13纵梁电泳：工作时一次循环超滤水喷淋系统常开。工件运行到一次循环超滤水喷淋槽时，一次循环超滤水对工件进行喷淋。喷淋温度：室温。喷淋压力：0.1-0.15MPa，检验频次：2次/班。过滤器进出口压差≤0.05 MPa，检验频次：2次/班。一次超滤水固体分≤2%，检测频次：1次/班。</w:t>
      </w:r>
    </w:p>
    <w:p w14:paraId="36899866">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7.14纵梁电泳：工作时二次循环超滤水喷淋系统常开。工件运行到二次循环超滤水喷淋槽时，二次循环超滤水对工件进行喷淋。喷淋温度：室温。喷淋压力：0.1-0.15MPa，检验频次：2次/班。过滤器进出口压差≤0.05 MPa，检验频次：2次/班。二次超滤水固体分≤1%，检测频次：1次/班。</w:t>
      </w:r>
    </w:p>
    <w:p w14:paraId="4F571B23">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二次循环超滤水对工件进行清洗。喷淋温度：室温。二次超滤水固体分≤1%，检验频次：1次/班。新鲜超滤水固体分≤0.5%，检验频次：1次/班。新鲜超滤水pH：5.7-6.3，检测频次：1次/天。过滤器进出口压力差：≤0.05MPa，检验频次：2次/班。</w:t>
      </w:r>
    </w:p>
    <w:p w14:paraId="33D5543B">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7.15 纵梁电泳：EDRO水对工件进行喷淋。喷淋温度：室温。喷淋压力：0.1-0.15MPa，检验频次：2次/班。过滤器进出口压差≤0.05 MPa，检验频次：2次/班。</w:t>
      </w:r>
    </w:p>
    <w:p w14:paraId="15E03311">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横梁电泳：对工件进行第二次浸渍+出槽喷淋纯水洗。喷淋温度：室温。去离子水 pH 值：5.8-6.8，检测频次：1次/天。去离子水电导率：≤10µs/cm，检验频次：1次/班。过滤器进出口压力差：≤0.05MPa，检验频次：2次/班。</w:t>
      </w:r>
    </w:p>
    <w:p w14:paraId="2BD4A1A8">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7.16纵梁电泳：新鲜EDRO水对工件进行喷淋。喷淋温度：室温。EDRO水电导率≤500µs/cm，检测频次：1次/班。</w:t>
      </w:r>
    </w:p>
    <w:p w14:paraId="1BF2D672">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7.17纵梁电泳：工件烘干。烘干室温度：190±10℃，推荐夏季设定187℃，冬季设定192℃。检验频次：1次/天。工件保温温度：170-180℃。工件保温时间：20min。</w:t>
      </w:r>
    </w:p>
    <w:p w14:paraId="50E91D19">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横梁电泳：工件烘干。烘干室温度：195±10℃。检验频次：1次/班。工件保温温度：170-180℃。工件保温时间：20-30min。</w:t>
      </w:r>
    </w:p>
    <w:p w14:paraId="799693B8">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7.18纵、横梁电泳：工件强冷，强冷后工件表面温度≤60℃。</w:t>
      </w:r>
    </w:p>
    <w:p w14:paraId="2D96C26A">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7.19纵梁电泳：悬链运行到下线区，EMS将车架放在指定位置，人工将吊具放开。</w:t>
      </w:r>
    </w:p>
    <w:p w14:paraId="20BE7749">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横梁电泳：下线后通过行车将器具放置辊床，由辊床运送至卸件工位。在卸件工位处，人工摘挂工件，放置指定位置。</w:t>
      </w:r>
    </w:p>
    <w:p w14:paraId="5F4FEBBB">
      <w:pPr>
        <w:spacing w:line="360" w:lineRule="exact"/>
        <w:ind w:firstLine="420" w:firstLineChars="20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7.20纵梁电泳：检查。外观：无针孔、缩孔、大颗粒及露底等漆膜弊病。干膜厚度≥20um，检验频次：专检每班≥2件，自检1件/20件。干膜硬度≥H，检验频次：专检每班≥2件，自检1件/20件。</w:t>
      </w:r>
    </w:p>
    <w:p w14:paraId="7C30217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横梁电泳：检查。外观：无针孔、缩孔、大颗粒及缺漆等漆膜弊病。干膜厚度≥20um，检验频次：专检每班≥2件，自检3件/框。干膜硬度≥H，检验频次：专检每班≥2件，自检3件/框。</w:t>
      </w:r>
    </w:p>
    <w:p w14:paraId="0A93A01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rPr>
        <w:t>若甲方更新电泳工艺规范及标准，须按最新标准执行。</w:t>
      </w:r>
    </w:p>
    <w:p w14:paraId="171A19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8、场地要求</w:t>
      </w:r>
    </w:p>
    <w:p w14:paraId="4C5F2EEA">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仓库及仓库内附属的设施。中标单位如厂房进行装修、改建，须事先向卡车制造公司提交装修、改建设计方案，并经卡车制造公司书面同意后方可进行，改建、装修费用由中标单位承担。</w:t>
      </w:r>
    </w:p>
    <w:p w14:paraId="7436D2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9、质量管控措施</w:t>
      </w:r>
    </w:p>
    <w:p w14:paraId="4AEBD268">
      <w:pPr>
        <w:keepNext w:val="0"/>
        <w:keepLines w:val="0"/>
        <w:pageBreakBefore w:val="0"/>
        <w:widowControl w:val="0"/>
        <w:kinsoku/>
        <w:wordWrap/>
        <w:overflowPunct/>
        <w:topLinePunct w:val="0"/>
        <w:autoSpaceDE/>
        <w:autoSpaceDN/>
        <w:bidi w:val="0"/>
        <w:adjustRightInd/>
        <w:snapToGrid/>
        <w:spacing w:line="360" w:lineRule="exact"/>
        <w:ind w:firstLine="560" w:firstLineChars="200"/>
        <w:textAlignment w:val="auto"/>
        <w:rPr>
          <w:rFonts w:hint="eastAsia" w:ascii="宋体" w:hAnsi="宋体"/>
          <w:b/>
          <w:color w:val="auto"/>
          <w:highlight w:val="none"/>
        </w:rPr>
      </w:pP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.1</w:t>
      </w:r>
      <w:r>
        <w:rPr>
          <w:rFonts w:hint="eastAsia" w:ascii="宋体" w:hAnsi="宋体"/>
          <w:b/>
          <w:color w:val="auto"/>
          <w:highlight w:val="none"/>
        </w:rPr>
        <w:t>质量保证</w:t>
      </w:r>
    </w:p>
    <w:p w14:paraId="0C2CEAC3">
      <w:pPr>
        <w:keepNext w:val="0"/>
        <w:keepLines w:val="0"/>
        <w:pageBreakBefore w:val="0"/>
        <w:widowControl w:val="0"/>
        <w:kinsoku/>
        <w:wordWrap/>
        <w:overflowPunct/>
        <w:topLinePunct w:val="0"/>
        <w:autoSpaceDE/>
        <w:autoSpaceDN/>
        <w:bidi w:val="0"/>
        <w:adjustRightInd/>
        <w:snapToGrid/>
        <w:spacing w:line="360" w:lineRule="exact"/>
        <w:ind w:firstLine="411" w:firstLineChars="196"/>
        <w:textAlignment w:val="auto"/>
        <w:rPr>
          <w:rFonts w:ascii="宋体" w:hAnsi="宋体"/>
          <w:color w:val="auto"/>
          <w:highlight w:val="none"/>
        </w:rPr>
      </w:pPr>
      <w:r>
        <w:rPr>
          <w:rFonts w:hint="eastAsia" w:ascii="宋体" w:hAnsi="宋体"/>
          <w:color w:val="auto"/>
          <w:highlight w:val="none"/>
          <w:lang w:val="en-US" w:eastAsia="zh-CN"/>
        </w:rPr>
        <w:t>9</w:t>
      </w:r>
      <w:r>
        <w:rPr>
          <w:rFonts w:ascii="宋体" w:hAnsi="宋体"/>
          <w:color w:val="auto"/>
          <w:highlight w:val="none"/>
        </w:rPr>
        <w:t>.1</w:t>
      </w:r>
      <w:r>
        <w:rPr>
          <w:rFonts w:hint="eastAsia" w:ascii="宋体" w:hAnsi="宋体"/>
          <w:color w:val="auto"/>
          <w:highlight w:val="none"/>
          <w:lang w:val="en-US" w:eastAsia="zh-CN"/>
        </w:rPr>
        <w:t>.1</w:t>
      </w:r>
      <w:r>
        <w:rPr>
          <w:rFonts w:ascii="宋体" w:hAnsi="宋体"/>
          <w:color w:val="auto"/>
          <w:highlight w:val="none"/>
        </w:rPr>
        <w:t xml:space="preserve">建立质量保证体系  </w:t>
      </w:r>
    </w:p>
    <w:p w14:paraId="55526AF1">
      <w:pPr>
        <w:keepNext w:val="0"/>
        <w:keepLines w:val="0"/>
        <w:pageBreakBefore w:val="0"/>
        <w:widowControl w:val="0"/>
        <w:tabs>
          <w:tab w:val="left" w:pos="360"/>
        </w:tabs>
        <w:kinsoku/>
        <w:wordWrap/>
        <w:overflowPunct/>
        <w:topLinePunct w:val="0"/>
        <w:autoSpaceDE/>
        <w:autoSpaceDN/>
        <w:bidi w:val="0"/>
        <w:adjustRightInd/>
        <w:snapToGrid/>
        <w:spacing w:line="360" w:lineRule="exact"/>
        <w:ind w:firstLine="420" w:firstLineChars="200"/>
        <w:textAlignment w:val="auto"/>
        <w:rPr>
          <w:rFonts w:ascii="宋体" w:hAnsi="宋体"/>
          <w:color w:val="auto"/>
          <w:highlight w:val="none"/>
        </w:rPr>
      </w:pPr>
      <w:r>
        <w:rPr>
          <w:rFonts w:hint="eastAsia" w:ascii="宋体" w:hAnsi="宋体"/>
          <w:color w:val="auto"/>
          <w:highlight w:val="none"/>
          <w:lang w:val="en-US" w:eastAsia="zh-CN"/>
        </w:rPr>
        <w:t>(1)</w:t>
      </w:r>
      <w:r>
        <w:rPr>
          <w:rFonts w:ascii="宋体" w:hAnsi="宋体"/>
          <w:color w:val="auto"/>
          <w:highlight w:val="none"/>
        </w:rPr>
        <w:t xml:space="preserve">乙方有义务按汽车行业的要求建立质量管理体系，并且有责任维持这个体系的零缺陷目标和不断地改进服务。 </w:t>
      </w:r>
    </w:p>
    <w:p w14:paraId="7BEC020B">
      <w:pPr>
        <w:keepNext w:val="0"/>
        <w:keepLines w:val="0"/>
        <w:pageBreakBefore w:val="0"/>
        <w:widowControl w:val="0"/>
        <w:tabs>
          <w:tab w:val="left" w:pos="360"/>
        </w:tabs>
        <w:kinsoku/>
        <w:wordWrap/>
        <w:overflowPunct/>
        <w:topLinePunct w:val="0"/>
        <w:autoSpaceDE/>
        <w:autoSpaceDN/>
        <w:bidi w:val="0"/>
        <w:adjustRightInd/>
        <w:snapToGrid/>
        <w:spacing w:line="360" w:lineRule="exact"/>
        <w:ind w:firstLine="420" w:firstLineChars="200"/>
        <w:textAlignment w:val="auto"/>
        <w:rPr>
          <w:rFonts w:ascii="宋体" w:hAnsi="宋体"/>
          <w:color w:val="auto"/>
          <w:highlight w:val="none"/>
        </w:rPr>
      </w:pPr>
      <w:r>
        <w:rPr>
          <w:rFonts w:hint="eastAsia" w:ascii="宋体" w:hAnsi="宋体"/>
          <w:color w:val="auto"/>
          <w:highlight w:val="none"/>
          <w:lang w:val="en-US" w:eastAsia="zh-CN"/>
        </w:rPr>
        <w:t>(2)</w:t>
      </w:r>
      <w:r>
        <w:rPr>
          <w:rFonts w:ascii="宋体" w:hAnsi="宋体"/>
          <w:color w:val="auto"/>
          <w:highlight w:val="none"/>
        </w:rPr>
        <w:t xml:space="preserve">在征得乙方书面同意后，乙方允许甲方通过有限的审核手段，来检查其质量管理方法是否达到甲方的要求。审核可以是体系、或过程、或产品。  </w:t>
      </w:r>
    </w:p>
    <w:p w14:paraId="72DB992E">
      <w:pPr>
        <w:tabs>
          <w:tab w:val="left" w:pos="360"/>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(3)</w:t>
      </w:r>
      <w:r>
        <w:rPr>
          <w:rFonts w:ascii="宋体" w:hAnsi="宋体"/>
          <w:color w:val="auto"/>
          <w:highlight w:val="none"/>
        </w:rPr>
        <w:t>在征得乙方书面同意后，乙方允许甲方接近所有的操作设备、试验中心、仓库及邻近区域，并且可以检查与质量有关的文件。在此情况下，甲方须保证严格遵守乙方对商业秘密的安全性及人身财产安全等相关规定执行。</w:t>
      </w:r>
    </w:p>
    <w:p w14:paraId="4F4A4CCE">
      <w:pPr>
        <w:tabs>
          <w:tab w:val="left" w:pos="360"/>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(4）</w:t>
      </w:r>
      <w:r>
        <w:rPr>
          <w:rFonts w:ascii="宋体" w:hAnsi="宋体"/>
          <w:color w:val="auto"/>
          <w:highlight w:val="none"/>
        </w:rPr>
        <w:t xml:space="preserve">乙方应按控制计划进行生产，并在生产过程中按计划进行产品审核、过程审核。 </w:t>
      </w:r>
    </w:p>
    <w:p w14:paraId="5C6CBC67">
      <w:pPr>
        <w:tabs>
          <w:tab w:val="left" w:pos="360"/>
        </w:tabs>
        <w:spacing w:line="360" w:lineRule="exact"/>
        <w:ind w:firstLine="420" w:firstLineChars="200"/>
        <w:rPr>
          <w:rFonts w:hint="eastAsia" w:ascii="宋体" w:hAnsi="宋体"/>
          <w:color w:val="auto"/>
          <w:highlight w:val="none"/>
        </w:rPr>
      </w:pPr>
      <w:r>
        <w:rPr>
          <w:rFonts w:hint="eastAsia" w:ascii="宋体" w:hAnsi="宋体"/>
          <w:color w:val="auto"/>
          <w:highlight w:val="none"/>
          <w:lang w:val="en-US" w:eastAsia="zh-CN"/>
        </w:rPr>
        <w:t>(5)</w:t>
      </w:r>
      <w:r>
        <w:rPr>
          <w:rFonts w:ascii="宋体" w:hAnsi="宋体"/>
          <w:color w:val="auto"/>
          <w:highlight w:val="none"/>
        </w:rPr>
        <w:t xml:space="preserve">乙方指定质量保证体系管理及经营的质量负责人，根据甲方要求，向甲方书面提交质量负责人。负责人变更时，事先要通知甲方。 </w:t>
      </w:r>
    </w:p>
    <w:p w14:paraId="3294FA79">
      <w:pPr>
        <w:tabs>
          <w:tab w:val="left" w:pos="360"/>
        </w:tabs>
        <w:spacing w:line="360" w:lineRule="exact"/>
        <w:ind w:firstLine="420" w:firstLineChars="200"/>
        <w:rPr>
          <w:rFonts w:hint="eastAsia" w:ascii="宋体" w:hAnsi="宋体" w:cs="宋体"/>
          <w:color w:val="auto"/>
          <w:kern w:val="0"/>
          <w:sz w:val="28"/>
          <w:szCs w:val="28"/>
          <w:highlight w:val="none"/>
        </w:rPr>
      </w:pPr>
      <w:r>
        <w:rPr>
          <w:rFonts w:hint="eastAsia" w:ascii="宋体" w:hAnsi="宋体"/>
          <w:color w:val="auto"/>
          <w:highlight w:val="none"/>
          <w:lang w:val="en-US" w:eastAsia="zh-CN"/>
        </w:rPr>
        <w:t>9</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2</w:t>
      </w:r>
      <w:r>
        <w:rPr>
          <w:rFonts w:ascii="宋体" w:hAnsi="宋体"/>
          <w:color w:val="auto"/>
          <w:highlight w:val="none"/>
        </w:rPr>
        <w:t>乙方采购物资质量保证</w:t>
      </w:r>
    </w:p>
    <w:p w14:paraId="34380A9B">
      <w:pPr>
        <w:tabs>
          <w:tab w:val="left" w:pos="360"/>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(1)</w:t>
      </w:r>
      <w:r>
        <w:rPr>
          <w:rFonts w:ascii="宋体" w:hAnsi="宋体"/>
          <w:color w:val="auto"/>
          <w:highlight w:val="none"/>
        </w:rPr>
        <w:t>乙方保证制造产品使用的</w:t>
      </w:r>
      <w:r>
        <w:rPr>
          <w:rFonts w:hint="eastAsia" w:ascii="宋体" w:hAnsi="宋体"/>
          <w:color w:val="auto"/>
          <w:highlight w:val="none"/>
        </w:rPr>
        <w:t>自喷漆</w:t>
      </w:r>
      <w:r>
        <w:rPr>
          <w:rFonts w:ascii="宋体" w:hAnsi="宋体"/>
          <w:color w:val="auto"/>
          <w:highlight w:val="none"/>
        </w:rPr>
        <w:t>等物资符合双方约定该产品质量要求，有相应质量保证。</w:t>
      </w:r>
    </w:p>
    <w:p w14:paraId="48209799">
      <w:pPr>
        <w:tabs>
          <w:tab w:val="left" w:pos="360"/>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(2)</w:t>
      </w:r>
      <w:r>
        <w:rPr>
          <w:rFonts w:ascii="宋体" w:hAnsi="宋体"/>
          <w:color w:val="auto"/>
          <w:highlight w:val="none"/>
        </w:rPr>
        <w:t>乙方用于制造产品使用的物资，如由甲方有偿或无偿提供，或向甲方指定第三方采购，其制成产品的质量全部由甲方或甲方所指定物资供应商保证。</w:t>
      </w:r>
    </w:p>
    <w:p w14:paraId="2F7E95CF">
      <w:pPr>
        <w:tabs>
          <w:tab w:val="left" w:pos="360"/>
        </w:tabs>
        <w:spacing w:line="360" w:lineRule="exact"/>
        <w:ind w:left="420" w:leftChars="200"/>
        <w:rPr>
          <w:rFonts w:hint="eastAsia" w:ascii="宋体" w:hAnsi="宋体"/>
          <w:color w:val="auto"/>
          <w:highlight w:val="none"/>
        </w:rPr>
      </w:pPr>
      <w:r>
        <w:rPr>
          <w:rFonts w:hint="eastAsia" w:ascii="宋体" w:hAnsi="宋体"/>
          <w:color w:val="auto"/>
          <w:highlight w:val="none"/>
          <w:lang w:val="en-US" w:eastAsia="zh-CN"/>
        </w:rPr>
        <w:t>9</w:t>
      </w:r>
      <w:r>
        <w:rPr>
          <w:rFonts w:hint="eastAsia" w:ascii="宋体" w:hAnsi="宋体"/>
          <w:color w:val="auto"/>
          <w:highlight w:val="none"/>
        </w:rPr>
        <w:t>.</w:t>
      </w:r>
      <w:r>
        <w:rPr>
          <w:rFonts w:hint="eastAsia" w:ascii="宋体" w:hAnsi="宋体"/>
          <w:color w:val="auto"/>
          <w:highlight w:val="none"/>
          <w:lang w:val="en-US" w:eastAsia="zh-CN"/>
        </w:rPr>
        <w:t>1.</w:t>
      </w:r>
      <w:r>
        <w:rPr>
          <w:rFonts w:hint="eastAsia" w:ascii="宋体" w:hAnsi="宋体"/>
          <w:color w:val="auto"/>
          <w:highlight w:val="none"/>
        </w:rPr>
        <w:t>3质量要求</w:t>
      </w:r>
    </w:p>
    <w:p w14:paraId="38BDAC6B">
      <w:pPr>
        <w:tabs>
          <w:tab w:val="left" w:pos="360"/>
        </w:tabs>
        <w:spacing w:line="360" w:lineRule="exact"/>
        <w:ind w:firstLine="420" w:firstLineChars="200"/>
        <w:rPr>
          <w:rFonts w:hint="eastAsia" w:ascii="宋体" w:hAnsi="宋体"/>
          <w:b w:val="0"/>
          <w:bCs w:val="0"/>
          <w:color w:val="auto"/>
          <w:highlight w:val="none"/>
          <w:lang w:val="en-US" w:eastAsia="zh-CN"/>
        </w:rPr>
      </w:pPr>
      <w:r>
        <w:rPr>
          <w:rFonts w:hint="eastAsia" w:ascii="宋体" w:hAnsi="宋体"/>
          <w:b w:val="0"/>
          <w:bCs w:val="0"/>
          <w:color w:val="auto"/>
          <w:highlight w:val="none"/>
          <w:lang w:val="en-US" w:eastAsia="zh-CN"/>
        </w:rPr>
        <w:t>(1) 电泳前应检查车架分装总成外观状态，不得出现锈蚀、毛刺等问题，有问题处理后再进行电泳；</w:t>
      </w:r>
    </w:p>
    <w:p w14:paraId="255B9CC9">
      <w:pPr>
        <w:tabs>
          <w:tab w:val="left" w:pos="360"/>
        </w:tabs>
        <w:spacing w:line="360" w:lineRule="exact"/>
        <w:ind w:firstLine="420" w:firstLineChars="200"/>
        <w:rPr>
          <w:rFonts w:hint="eastAsia" w:ascii="宋体" w:hAnsi="宋体"/>
          <w:b w:val="0"/>
          <w:bCs w:val="0"/>
          <w:color w:val="auto"/>
          <w:highlight w:val="none"/>
          <w:lang w:val="en-US" w:eastAsia="zh-CN"/>
        </w:rPr>
      </w:pPr>
      <w:r>
        <w:rPr>
          <w:rFonts w:hint="eastAsia" w:ascii="宋体" w:hAnsi="宋体"/>
          <w:b w:val="0"/>
          <w:bCs w:val="0"/>
          <w:color w:val="auto"/>
          <w:highlight w:val="none"/>
          <w:lang w:val="en-US" w:eastAsia="zh-CN"/>
        </w:rPr>
        <w:t>(2) 电泳液按照要求进行抽样检验，并留存检验记录；</w:t>
      </w:r>
    </w:p>
    <w:p w14:paraId="16FB6769">
      <w:pPr>
        <w:tabs>
          <w:tab w:val="left" w:pos="360"/>
        </w:tabs>
        <w:spacing w:line="360" w:lineRule="exact"/>
        <w:ind w:firstLine="420" w:firstLineChars="200"/>
        <w:rPr>
          <w:rFonts w:hint="eastAsia" w:ascii="宋体" w:hAnsi="宋体"/>
          <w:b w:val="0"/>
          <w:bCs w:val="0"/>
          <w:color w:val="auto"/>
          <w:highlight w:val="none"/>
          <w:lang w:val="en-US" w:eastAsia="zh-CN"/>
        </w:rPr>
      </w:pPr>
      <w:r>
        <w:rPr>
          <w:rFonts w:hint="eastAsia" w:ascii="宋体" w:hAnsi="宋体"/>
          <w:b w:val="0"/>
          <w:bCs w:val="0"/>
          <w:color w:val="auto"/>
          <w:highlight w:val="none"/>
          <w:lang w:val="en-US" w:eastAsia="zh-CN"/>
        </w:rPr>
        <w:t>(3) 电泳后应进行充分晾干，不得出现漆膜厚度不足、漆膜硬度不足、漆面橘皮、流淌、杂质、颗粒等外观问题；</w:t>
      </w:r>
    </w:p>
    <w:p w14:paraId="7905F1B1">
      <w:pPr>
        <w:tabs>
          <w:tab w:val="left" w:pos="360"/>
        </w:tabs>
        <w:spacing w:line="360" w:lineRule="exact"/>
        <w:ind w:firstLine="420" w:firstLineChars="200"/>
        <w:rPr>
          <w:rFonts w:hint="eastAsia" w:ascii="宋体" w:hAnsi="宋体"/>
          <w:b w:val="0"/>
          <w:bCs w:val="0"/>
          <w:color w:val="auto"/>
          <w:highlight w:val="none"/>
          <w:lang w:val="en-US" w:eastAsia="zh-CN"/>
        </w:rPr>
      </w:pPr>
      <w:r>
        <w:rPr>
          <w:rFonts w:hint="eastAsia" w:ascii="宋体" w:hAnsi="宋体"/>
          <w:b w:val="0"/>
          <w:bCs w:val="0"/>
          <w:color w:val="auto"/>
          <w:highlight w:val="none"/>
          <w:lang w:val="en-US" w:eastAsia="zh-CN"/>
        </w:rPr>
        <w:t>(4) 电泳过程使用到的工具应保证在计量检验周期内；</w:t>
      </w:r>
    </w:p>
    <w:p w14:paraId="55FA1136">
      <w:pPr>
        <w:tabs>
          <w:tab w:val="left" w:pos="360"/>
        </w:tabs>
        <w:spacing w:line="360" w:lineRule="exact"/>
        <w:ind w:firstLine="420" w:firstLineChars="200"/>
        <w:rPr>
          <w:rFonts w:hint="eastAsia" w:ascii="宋体" w:hAnsi="宋体"/>
          <w:b w:val="0"/>
          <w:bCs w:val="0"/>
          <w:color w:val="auto"/>
          <w:highlight w:val="none"/>
          <w:lang w:val="en-US" w:eastAsia="zh-CN"/>
        </w:rPr>
      </w:pPr>
      <w:r>
        <w:rPr>
          <w:rFonts w:hint="eastAsia" w:ascii="宋体" w:hAnsi="宋体"/>
          <w:b w:val="0"/>
          <w:bCs w:val="0"/>
          <w:color w:val="auto"/>
          <w:highlight w:val="none"/>
          <w:lang w:val="en-US" w:eastAsia="zh-CN"/>
        </w:rPr>
        <w:t>(5) 电泳后车架放置在专用工位器具上，避免出现磕碰划伤，工位器具应做好防护。</w:t>
      </w:r>
    </w:p>
    <w:p w14:paraId="614DF7F9">
      <w:pPr>
        <w:tabs>
          <w:tab w:val="left" w:pos="360"/>
        </w:tabs>
        <w:spacing w:line="36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b w:val="0"/>
          <w:bCs w:val="0"/>
          <w:color w:val="auto"/>
          <w:highlight w:val="none"/>
          <w:lang w:val="en-US" w:eastAsia="zh-CN"/>
        </w:rPr>
        <w:t>(6)</w:t>
      </w:r>
      <w:r>
        <w:rPr>
          <w:rFonts w:hint="eastAsia" w:ascii="宋体" w:hAnsi="宋体"/>
          <w:b w:val="0"/>
          <w:bCs w:val="0"/>
          <w:color w:val="auto"/>
          <w:highlight w:val="none"/>
          <w:u w:val="none"/>
          <w:lang w:val="en-US" w:eastAsia="zh-CN"/>
        </w:rPr>
        <w:t xml:space="preserve"> 按照涂装产品制造过程质量控制，确保每工序质量问题得到及时修复，不得流入下一工序影响产品质量。</w:t>
      </w:r>
    </w:p>
    <w:p w14:paraId="28C98A78">
      <w:pPr>
        <w:tabs>
          <w:tab w:val="left" w:pos="360"/>
        </w:tabs>
        <w:spacing w:line="360" w:lineRule="exact"/>
        <w:ind w:firstLine="420" w:firstLineChars="200"/>
        <w:rPr>
          <w:rFonts w:hint="eastAsia" w:ascii="宋体" w:hAnsi="宋体"/>
          <w:b w:val="0"/>
          <w:bCs w:val="0"/>
          <w:color w:val="auto"/>
          <w:highlight w:val="none"/>
          <w:u w:val="none"/>
          <w:lang w:val="en-US" w:eastAsia="zh-CN"/>
        </w:rPr>
      </w:pPr>
      <w:r>
        <w:rPr>
          <w:rFonts w:hint="eastAsia" w:ascii="宋体" w:hAnsi="宋体"/>
          <w:b w:val="0"/>
          <w:bCs w:val="0"/>
          <w:color w:val="auto"/>
          <w:highlight w:val="none"/>
          <w:u w:val="none"/>
          <w:lang w:val="en-US" w:eastAsia="zh-CN"/>
        </w:rPr>
        <w:t xml:space="preserve">(7) </w:t>
      </w:r>
      <w:r>
        <w:rPr>
          <w:rFonts w:hint="eastAsia" w:ascii="宋体" w:hAnsi="宋体"/>
          <w:b w:val="0"/>
          <w:bCs w:val="0"/>
          <w:color w:val="auto"/>
          <w:highlight w:val="none"/>
          <w:u w:val="none"/>
        </w:rPr>
        <w:t>漆膜厚度要求</w:t>
      </w:r>
      <w:r>
        <w:rPr>
          <w:rFonts w:hint="eastAsia" w:ascii="宋体" w:hAnsi="宋体"/>
          <w:b w:val="0"/>
          <w:bCs w:val="0"/>
          <w:color w:val="auto"/>
          <w:highlight w:val="none"/>
          <w:u w:val="none"/>
          <w:lang w:val="en-US" w:eastAsia="zh-CN"/>
        </w:rPr>
        <w:t>干膜厚度≥20um</w:t>
      </w:r>
      <w:r>
        <w:rPr>
          <w:rFonts w:hint="eastAsia" w:ascii="宋体" w:hAnsi="宋体"/>
          <w:b w:val="0"/>
          <w:bCs w:val="0"/>
          <w:color w:val="auto"/>
          <w:highlight w:val="none"/>
          <w:u w:val="none"/>
        </w:rPr>
        <w:t>，</w:t>
      </w:r>
      <w:r>
        <w:rPr>
          <w:rFonts w:hint="eastAsia" w:ascii="宋体" w:hAnsi="宋体"/>
          <w:b w:val="0"/>
          <w:bCs w:val="0"/>
          <w:color w:val="auto"/>
          <w:highlight w:val="none"/>
          <w:u w:val="none"/>
          <w:lang w:val="en-US" w:eastAsia="zh-CN"/>
        </w:rPr>
        <w:t>干膜硬度≥H。</w:t>
      </w:r>
    </w:p>
    <w:p w14:paraId="57CCCBF1">
      <w:pPr>
        <w:spacing w:line="360" w:lineRule="exact"/>
        <w:ind w:firstLine="548" w:firstLineChars="196"/>
        <w:rPr>
          <w:rFonts w:ascii="宋体" w:hAnsi="宋体"/>
          <w:color w:val="auto"/>
          <w:highlight w:val="none"/>
        </w:rPr>
      </w:pP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2</w:t>
      </w:r>
      <w:r>
        <w:rPr>
          <w:rFonts w:ascii="宋体" w:hAnsi="宋体"/>
          <w:color w:val="auto"/>
          <w:highlight w:val="none"/>
        </w:rPr>
        <w:t xml:space="preserve">质量目标  </w:t>
      </w:r>
    </w:p>
    <w:p w14:paraId="0F599607">
      <w:pPr>
        <w:tabs>
          <w:tab w:val="left" w:pos="360"/>
        </w:tabs>
        <w:spacing w:line="360" w:lineRule="exact"/>
        <w:ind w:firstLine="420" w:firstLineChars="200"/>
        <w:rPr>
          <w:rFonts w:ascii="宋体" w:hAnsi="宋体"/>
          <w:color w:val="auto"/>
          <w:highlight w:val="none"/>
        </w:rPr>
      </w:pPr>
      <w:r>
        <w:rPr>
          <w:rFonts w:ascii="宋体" w:hAnsi="宋体"/>
          <w:color w:val="auto"/>
          <w:highlight w:val="none"/>
        </w:rPr>
        <w:t>乙方应确定产品的质量目标，致力于以零缺陷为目标的质量改善活动，确保所提供的产品</w:t>
      </w:r>
      <w:r>
        <w:rPr>
          <w:rFonts w:hint="eastAsia" w:ascii="宋体" w:hAnsi="宋体"/>
          <w:color w:val="auto"/>
          <w:highlight w:val="none"/>
        </w:rPr>
        <w:t>满足甲方的要求</w:t>
      </w:r>
      <w:r>
        <w:rPr>
          <w:rFonts w:ascii="宋体" w:hAnsi="宋体"/>
          <w:color w:val="auto"/>
          <w:highlight w:val="none"/>
        </w:rPr>
        <w:t xml:space="preserve">。  </w:t>
      </w:r>
    </w:p>
    <w:p w14:paraId="0D2705B1">
      <w:pPr>
        <w:tabs>
          <w:tab w:val="left" w:pos="360"/>
        </w:tabs>
        <w:spacing w:line="360" w:lineRule="exact"/>
        <w:ind w:firstLine="420" w:firstLineChars="200"/>
        <w:rPr>
          <w:rFonts w:ascii="宋体" w:hAnsi="宋体"/>
          <w:color w:val="auto"/>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2</w:t>
      </w:r>
      <w:r>
        <w:rPr>
          <w:rFonts w:ascii="宋体" w:hAnsi="宋体"/>
          <w:color w:val="auto"/>
          <w:highlight w:val="none"/>
        </w:rPr>
        <w:t>.1质量目标的订定</w:t>
      </w:r>
    </w:p>
    <w:p w14:paraId="0F07DFB9">
      <w:pPr>
        <w:tabs>
          <w:tab w:val="left" w:pos="360"/>
        </w:tabs>
        <w:spacing w:line="360" w:lineRule="exact"/>
        <w:ind w:firstLine="420" w:firstLineChars="200"/>
        <w:rPr>
          <w:rFonts w:hint="eastAsia" w:ascii="宋体" w:hAnsi="宋体"/>
          <w:b w:val="0"/>
          <w:bCs w:val="0"/>
          <w:color w:val="auto"/>
          <w:highlight w:val="none"/>
          <w:u w:val="none"/>
          <w:lang w:val="en-US" w:eastAsia="zh-CN"/>
        </w:rPr>
      </w:pPr>
      <w:r>
        <w:rPr>
          <w:rFonts w:ascii="宋体" w:hAnsi="宋体"/>
          <w:b w:val="0"/>
          <w:bCs w:val="0"/>
          <w:color w:val="auto"/>
          <w:highlight w:val="none"/>
          <w:u w:val="none"/>
        </w:rPr>
        <w:t>质量目标主要包括</w:t>
      </w:r>
      <w:r>
        <w:rPr>
          <w:rFonts w:hint="eastAsia" w:ascii="宋体" w:hAnsi="宋体"/>
          <w:b w:val="0"/>
          <w:bCs w:val="0"/>
          <w:color w:val="auto"/>
          <w:highlight w:val="none"/>
          <w:u w:val="none"/>
          <w:lang w:val="en-US" w:eastAsia="zh-CN"/>
        </w:rPr>
        <w:t>面漆过程检查问题关闭率、AUDIT评审问题关闭率、总成/整车评审电泳问题数量等2个项目，甲方每年度与乙方进行质量目标的订定。质量目标要求如下：</w:t>
      </w:r>
    </w:p>
    <w:p w14:paraId="2DACC368">
      <w:pPr>
        <w:numPr>
          <w:ilvl w:val="0"/>
          <w:numId w:val="32"/>
        </w:numPr>
        <w:tabs>
          <w:tab w:val="left" w:pos="360"/>
        </w:tabs>
        <w:spacing w:line="360" w:lineRule="exact"/>
        <w:ind w:firstLine="420" w:firstLineChars="200"/>
        <w:rPr>
          <w:rFonts w:hint="default" w:ascii="宋体" w:hAnsi="宋体"/>
          <w:b w:val="0"/>
          <w:bCs w:val="0"/>
          <w:color w:val="auto"/>
          <w:highlight w:val="none"/>
          <w:u w:val="none"/>
          <w:lang w:val="en-US" w:eastAsia="zh-CN"/>
        </w:rPr>
      </w:pPr>
      <w:r>
        <w:rPr>
          <w:rFonts w:hint="eastAsia" w:ascii="宋体" w:hAnsi="宋体"/>
          <w:b w:val="0"/>
          <w:bCs w:val="0"/>
          <w:color w:val="auto"/>
          <w:highlight w:val="none"/>
          <w:u w:val="none"/>
          <w:lang w:val="en-US" w:eastAsia="zh-CN"/>
        </w:rPr>
        <w:t>过程检查问题关闭率100%，关闭率计算：乙方针对甲方过程检查发现问题关闭数量/乙方针对甲方过程检查发现问题数量；</w:t>
      </w:r>
    </w:p>
    <w:p w14:paraId="452131B6">
      <w:pPr>
        <w:numPr>
          <w:ilvl w:val="0"/>
          <w:numId w:val="32"/>
        </w:numPr>
        <w:tabs>
          <w:tab w:val="left" w:pos="360"/>
        </w:tabs>
        <w:spacing w:line="360" w:lineRule="exact"/>
        <w:ind w:firstLine="420" w:firstLineChars="200"/>
        <w:rPr>
          <w:rFonts w:hint="default" w:ascii="宋体" w:hAnsi="宋体"/>
          <w:b w:val="0"/>
          <w:bCs w:val="0"/>
          <w:color w:val="auto"/>
          <w:highlight w:val="none"/>
          <w:u w:val="none"/>
          <w:lang w:val="en-US" w:eastAsia="zh-CN"/>
        </w:rPr>
      </w:pPr>
      <w:r>
        <w:rPr>
          <w:rFonts w:hint="eastAsia" w:ascii="宋体" w:hAnsi="宋体"/>
          <w:b w:val="0"/>
          <w:bCs w:val="0"/>
          <w:color w:val="auto"/>
          <w:highlight w:val="none"/>
          <w:u w:val="none"/>
          <w:lang w:val="en-US" w:eastAsia="zh-CN"/>
        </w:rPr>
        <w:t>Audit评审问题关闭率100%，合格率计算：乙方针对甲方Audit评审发现电泳问题的整改数量/甲方Audit评审发现的电泳问题数量；</w:t>
      </w:r>
    </w:p>
    <w:p w14:paraId="0E93A179">
      <w:pPr>
        <w:numPr>
          <w:ilvl w:val="0"/>
          <w:numId w:val="32"/>
        </w:numPr>
        <w:tabs>
          <w:tab w:val="left" w:pos="360"/>
        </w:tabs>
        <w:spacing w:line="360" w:lineRule="exact"/>
        <w:ind w:firstLine="420" w:firstLineChars="200"/>
        <w:rPr>
          <w:rFonts w:ascii="宋体" w:hAnsi="宋体"/>
          <w:b w:val="0"/>
          <w:bCs w:val="0"/>
          <w:color w:val="auto"/>
          <w:highlight w:val="none"/>
        </w:rPr>
      </w:pPr>
      <w:r>
        <w:rPr>
          <w:rFonts w:hint="eastAsia" w:ascii="宋体" w:hAnsi="宋体"/>
          <w:b w:val="0"/>
          <w:bCs w:val="0"/>
          <w:color w:val="auto"/>
          <w:highlight w:val="none"/>
          <w:u w:val="none"/>
          <w:lang w:val="en-US" w:eastAsia="zh-CN"/>
        </w:rPr>
        <w:t>总成/整车评审电泳问题数量 ≤1个，数量计算：总成或者整车AUDIT评审中涉及电泳的问题数量。</w:t>
      </w:r>
    </w:p>
    <w:p w14:paraId="3614B8C3">
      <w:pPr>
        <w:spacing w:line="360" w:lineRule="exact"/>
        <w:ind w:firstLine="411" w:firstLineChars="196"/>
        <w:rPr>
          <w:rFonts w:hint="eastAsia" w:ascii="宋体" w:hAnsi="宋体"/>
          <w:color w:val="auto"/>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2</w:t>
      </w:r>
      <w:r>
        <w:rPr>
          <w:rFonts w:ascii="宋体" w:hAnsi="宋体"/>
          <w:color w:val="auto"/>
          <w:highlight w:val="none"/>
        </w:rPr>
        <w:t>.</w:t>
      </w:r>
      <w:r>
        <w:rPr>
          <w:rFonts w:hint="eastAsia" w:ascii="宋体" w:hAnsi="宋体"/>
          <w:color w:val="auto"/>
          <w:highlight w:val="none"/>
        </w:rPr>
        <w:t>2质量评价</w:t>
      </w:r>
    </w:p>
    <w:p w14:paraId="2846EB5F">
      <w:pPr>
        <w:spacing w:line="360" w:lineRule="exact"/>
        <w:ind w:firstLine="411" w:firstLineChars="196"/>
        <w:rPr>
          <w:rFonts w:hint="eastAsia" w:ascii="宋体" w:hAnsi="宋体"/>
          <w:color w:val="auto"/>
          <w:highlight w:val="none"/>
        </w:rPr>
      </w:pPr>
      <w:r>
        <w:rPr>
          <w:rFonts w:hint="eastAsia" w:ascii="宋体" w:hAnsi="宋体"/>
          <w:color w:val="auto"/>
          <w:highlight w:val="none"/>
        </w:rPr>
        <w:t>为促进乙方外协质量的稳定和提高，甲方依照乙方质量目标的达成状况进行统计，对乙方的质量管理水平进行月度评价。当月评低于质量目标时，乙方需根据当月主要不良状况展开调查，于收到月报资料后一周内书面提交改善计划；连续</w:t>
      </w:r>
      <w:r>
        <w:rPr>
          <w:rFonts w:ascii="宋体" w:hAnsi="宋体"/>
          <w:color w:val="auto"/>
          <w:highlight w:val="none"/>
        </w:rPr>
        <w:t>2</w:t>
      </w:r>
      <w:r>
        <w:rPr>
          <w:rFonts w:hint="eastAsia" w:ascii="宋体" w:hAnsi="宋体"/>
          <w:color w:val="auto"/>
          <w:highlight w:val="none"/>
        </w:rPr>
        <w:t>个月月评低于质量目标时，乙方经营或质量保证的负责人至甲方进行质量改善的说明；连续3个月月评低于质量目标时，将采取处罚措施。</w:t>
      </w:r>
    </w:p>
    <w:p w14:paraId="1E075EDD">
      <w:pPr>
        <w:spacing w:line="360" w:lineRule="exact"/>
        <w:ind w:firstLine="411" w:firstLineChars="196"/>
        <w:rPr>
          <w:rFonts w:hint="eastAsia" w:ascii="宋体" w:hAnsi="宋体"/>
          <w:color w:val="auto"/>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2</w:t>
      </w:r>
      <w:r>
        <w:rPr>
          <w:rFonts w:ascii="宋体" w:hAnsi="宋体"/>
          <w:color w:val="auto"/>
          <w:highlight w:val="none"/>
        </w:rPr>
        <w:t>.</w:t>
      </w:r>
      <w:r>
        <w:rPr>
          <w:rFonts w:hint="eastAsia" w:ascii="宋体" w:hAnsi="宋体"/>
          <w:color w:val="auto"/>
          <w:highlight w:val="none"/>
        </w:rPr>
        <w:t>3质量交流</w:t>
      </w:r>
    </w:p>
    <w:p w14:paraId="2A8DDDCE">
      <w:pPr>
        <w:spacing w:line="360" w:lineRule="exact"/>
        <w:ind w:firstLine="411" w:firstLineChars="196"/>
        <w:rPr>
          <w:rFonts w:hint="eastAsia" w:ascii="宋体" w:hAnsi="宋体"/>
          <w:color w:val="auto"/>
          <w:highlight w:val="none"/>
        </w:rPr>
      </w:pPr>
      <w:r>
        <w:rPr>
          <w:rFonts w:hint="eastAsia" w:ascii="宋体" w:hAnsi="宋体"/>
          <w:color w:val="auto"/>
          <w:highlight w:val="none"/>
        </w:rPr>
        <w:t>乙方指定专门人员（质量负责人）负责与甲方对产品技术、质量信息进行沟通，对产品的全过程质量进行动态跟踪，并向甲方报告。</w:t>
      </w:r>
    </w:p>
    <w:p w14:paraId="498A5484">
      <w:pPr>
        <w:spacing w:line="360" w:lineRule="exact"/>
        <w:rPr>
          <w:rFonts w:hint="eastAsia" w:ascii="宋体" w:hAnsi="宋体"/>
          <w:b/>
          <w:bCs/>
          <w:color w:val="auto"/>
          <w:szCs w:val="21"/>
          <w:highlight w:val="none"/>
        </w:rPr>
      </w:pPr>
      <w:r>
        <w:rPr>
          <w:rFonts w:hint="eastAsia" w:ascii="仿宋" w:hAnsi="仿宋" w:eastAsia="仿宋" w:cs="仿宋"/>
          <w:b/>
          <w:bCs/>
          <w:sz w:val="28"/>
          <w:szCs w:val="28"/>
          <w:highlight w:val="none"/>
          <w:lang w:val="en-US" w:eastAsia="zh-CN"/>
        </w:rPr>
        <w:t>9</w:t>
      </w:r>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val="en-US" w:eastAsia="zh-CN"/>
        </w:rPr>
        <w:t>3</w:t>
      </w:r>
      <w:r>
        <w:rPr>
          <w:rFonts w:hint="eastAsia" w:ascii="宋体" w:hAnsi="宋体"/>
          <w:b/>
          <w:bCs/>
          <w:color w:val="auto"/>
          <w:szCs w:val="21"/>
          <w:highlight w:val="none"/>
        </w:rPr>
        <w:t>质量监督要求</w:t>
      </w:r>
    </w:p>
    <w:p w14:paraId="4B07F695">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.1</w:t>
      </w:r>
      <w:r>
        <w:rPr>
          <w:rFonts w:hint="eastAsia" w:ascii="宋体" w:hAnsi="宋体"/>
          <w:color w:val="auto"/>
          <w:szCs w:val="21"/>
          <w:highlight w:val="none"/>
        </w:rPr>
        <w:t>甲方对乙方生产过程及实物质量实施“派驻式”管控，具体由甲方指定技术质量人员在乙方制造现场开展技术质量指导并对实物质量采取抽样检验监督。</w:t>
      </w:r>
    </w:p>
    <w:p w14:paraId="058D8CFA">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.2</w:t>
      </w:r>
      <w:r>
        <w:rPr>
          <w:rFonts w:hint="eastAsia" w:ascii="宋体" w:hAnsi="宋体"/>
          <w:color w:val="auto"/>
          <w:szCs w:val="21"/>
          <w:highlight w:val="none"/>
        </w:rPr>
        <w:t>抽样原则</w:t>
      </w:r>
    </w:p>
    <w:p w14:paraId="59D5E6DE">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根据实际情况及产品质量特性，对现场检验项目，如过程参数、包装、外观、标识、尺寸等抽样检查。抽样检验如发现不合格，则应将当班次加工产品全部实施复检确认。</w:t>
      </w:r>
    </w:p>
    <w:p w14:paraId="4F7CC422">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动态规则</w:t>
      </w:r>
    </w:p>
    <w:p w14:paraId="041C13DB">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根据产品质量稳定情况，结合乙方制造过程能力，执行抽样策略的动态管理。</w:t>
      </w:r>
    </w:p>
    <w:p w14:paraId="521FCC02">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.3.</w:t>
      </w:r>
      <w:r>
        <w:rPr>
          <w:rFonts w:hint="eastAsia" w:ascii="宋体" w:hAnsi="宋体"/>
          <w:color w:val="auto"/>
          <w:szCs w:val="21"/>
          <w:highlight w:val="none"/>
          <w:lang w:val="en-US" w:eastAsia="zh-CN"/>
        </w:rPr>
        <w:t>1</w:t>
      </w:r>
      <w:r>
        <w:rPr>
          <w:rFonts w:hint="eastAsia" w:ascii="宋体" w:hAnsi="宋体"/>
          <w:color w:val="auto"/>
          <w:szCs w:val="21"/>
          <w:highlight w:val="none"/>
        </w:rPr>
        <w:t>正常转加严：在制造过程监控中发现存在不符合项或实物抽检、零公里及售后发现不合格，对问题项进行加倍抽样检验，其他合格项目依照正常检验执行。</w:t>
      </w:r>
    </w:p>
    <w:p w14:paraId="780EC82B">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.3.</w:t>
      </w:r>
      <w:r>
        <w:rPr>
          <w:rFonts w:hint="eastAsia" w:ascii="宋体" w:hAnsi="宋体"/>
          <w:color w:val="auto"/>
          <w:szCs w:val="21"/>
          <w:highlight w:val="none"/>
          <w:lang w:val="en-US" w:eastAsia="zh-CN"/>
        </w:rPr>
        <w:t>2</w:t>
      </w:r>
      <w:r>
        <w:rPr>
          <w:rFonts w:hint="eastAsia" w:ascii="宋体" w:hAnsi="宋体"/>
          <w:color w:val="auto"/>
          <w:szCs w:val="21"/>
          <w:highlight w:val="none"/>
        </w:rPr>
        <w:t>加严转正常：不合格问题已纠正并已得到验证，加严检验连续五次检验合格，可转为正常检验。</w:t>
      </w:r>
    </w:p>
    <w:p w14:paraId="52A4B1E2">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.4</w:t>
      </w:r>
      <w:r>
        <w:rPr>
          <w:rFonts w:hint="eastAsia" w:ascii="宋体" w:hAnsi="宋体"/>
          <w:color w:val="auto"/>
          <w:szCs w:val="21"/>
          <w:highlight w:val="none"/>
        </w:rPr>
        <w:t>抽样与取样</w:t>
      </w:r>
    </w:p>
    <w:p w14:paraId="53884F10">
      <w:pPr>
        <w:spacing w:line="360" w:lineRule="exact"/>
        <w:ind w:firstLine="420" w:firstLineChars="200"/>
        <w:rPr>
          <w:rFonts w:hint="eastAsia" w:ascii="宋体" w:hAnsi="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.4.1</w:t>
      </w:r>
      <w:r>
        <w:rPr>
          <w:rFonts w:hint="eastAsia" w:ascii="宋体" w:hAnsi="宋体"/>
          <w:color w:val="auto"/>
          <w:szCs w:val="21"/>
          <w:highlight w:val="none"/>
        </w:rPr>
        <w:t>抽样方法：检验样本由检验人员按比例抽样，采取随机抽样与连续抽样方式相结合的抽样方式，避免抽样僵化。</w:t>
      </w:r>
    </w:p>
    <w:p w14:paraId="48663929">
      <w:pPr>
        <w:spacing w:line="360" w:lineRule="exact"/>
        <w:ind w:firstLine="420" w:firstLineChars="200"/>
        <w:rPr>
          <w:rFonts w:hint="eastAsia" w:ascii="宋体" w:hAnsi="宋体" w:cs="宋体"/>
          <w:color w:val="auto"/>
          <w:szCs w:val="21"/>
          <w:highlight w:val="none"/>
        </w:rPr>
      </w:pP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.4.2</w:t>
      </w:r>
      <w:r>
        <w:rPr>
          <w:rFonts w:hint="eastAsia" w:ascii="宋体" w:hAnsi="宋体"/>
          <w:color w:val="auto"/>
          <w:szCs w:val="21"/>
          <w:highlight w:val="none"/>
        </w:rPr>
        <w:t>根据现场检验项目所属类别，按表中抽样数量执行，正常检验均采用一次抽样方案，抽取的样本容量n见表1。</w:t>
      </w:r>
    </w:p>
    <w:p w14:paraId="41D1B1D1">
      <w:pPr>
        <w:spacing w:line="460" w:lineRule="exact"/>
        <w:ind w:firstLine="420" w:firstLineChars="200"/>
        <w:jc w:val="center"/>
        <w:rPr>
          <w:rFonts w:ascii="宋体" w:hAnsi="宋体" w:cs="宋体"/>
          <w:color w:val="auto"/>
          <w:szCs w:val="21"/>
          <w:highlight w:val="none"/>
        </w:rPr>
      </w:pPr>
      <w:r>
        <w:rPr>
          <w:rFonts w:hint="eastAsia" w:ascii="宋体" w:hAnsi="宋体" w:cs="宋体"/>
          <w:color w:val="auto"/>
          <w:szCs w:val="21"/>
          <w:highlight w:val="none"/>
        </w:rPr>
        <w:t>表1：现场检验抽样等级及抽样数量</w:t>
      </w:r>
    </w:p>
    <w:tbl>
      <w:tblPr>
        <w:tblStyle w:val="30"/>
        <w:tblW w:w="8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74"/>
        <w:gridCol w:w="2371"/>
        <w:gridCol w:w="2494"/>
      </w:tblGrid>
      <w:tr w14:paraId="7D99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46" w:type="dxa"/>
            <w:noWrap/>
            <w:vAlign w:val="center"/>
          </w:tcPr>
          <w:p w14:paraId="4984EF6D">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874" w:type="dxa"/>
            <w:noWrap w:val="0"/>
            <w:vAlign w:val="center"/>
          </w:tcPr>
          <w:p w14:paraId="564D62DA">
            <w:pPr>
              <w:jc w:val="center"/>
              <w:rPr>
                <w:rFonts w:ascii="宋体" w:hAnsi="宋体" w:cs="宋体"/>
                <w:color w:val="auto"/>
                <w:szCs w:val="21"/>
                <w:highlight w:val="none"/>
              </w:rPr>
            </w:pPr>
            <w:r>
              <w:rPr>
                <w:rFonts w:hint="eastAsia" w:ascii="宋体" w:hAnsi="宋体" w:cs="宋体"/>
                <w:color w:val="auto"/>
                <w:szCs w:val="21"/>
                <w:highlight w:val="none"/>
              </w:rPr>
              <w:t>当期数量</w:t>
            </w:r>
          </w:p>
          <w:p w14:paraId="3401D60A">
            <w:pPr>
              <w:jc w:val="center"/>
              <w:rPr>
                <w:rFonts w:ascii="宋体" w:hAnsi="宋体" w:cs="宋体"/>
                <w:color w:val="auto"/>
                <w:szCs w:val="21"/>
                <w:highlight w:val="none"/>
              </w:rPr>
            </w:pPr>
            <w:r>
              <w:rPr>
                <w:rFonts w:hint="eastAsia" w:ascii="宋体" w:hAnsi="宋体" w:cs="宋体"/>
                <w:color w:val="auto"/>
                <w:szCs w:val="21"/>
                <w:highlight w:val="none"/>
              </w:rPr>
              <w:t>（样本容量n）</w:t>
            </w:r>
          </w:p>
        </w:tc>
        <w:tc>
          <w:tcPr>
            <w:tcW w:w="2371" w:type="dxa"/>
            <w:noWrap w:val="0"/>
            <w:vAlign w:val="center"/>
          </w:tcPr>
          <w:p w14:paraId="454F4CE3">
            <w:pPr>
              <w:jc w:val="center"/>
              <w:rPr>
                <w:rFonts w:ascii="宋体" w:hAnsi="宋体" w:cs="宋体"/>
                <w:color w:val="auto"/>
                <w:szCs w:val="21"/>
                <w:highlight w:val="none"/>
              </w:rPr>
            </w:pPr>
            <w:r>
              <w:rPr>
                <w:rFonts w:hint="eastAsia" w:ascii="宋体" w:hAnsi="宋体" w:cs="宋体"/>
                <w:color w:val="auto"/>
                <w:szCs w:val="21"/>
                <w:highlight w:val="none"/>
              </w:rPr>
              <w:t>正常检验</w:t>
            </w:r>
          </w:p>
          <w:p w14:paraId="5EC57E74">
            <w:pPr>
              <w:jc w:val="center"/>
              <w:rPr>
                <w:rFonts w:ascii="宋体" w:hAnsi="宋体" w:cs="宋体"/>
                <w:color w:val="auto"/>
                <w:szCs w:val="21"/>
                <w:highlight w:val="none"/>
              </w:rPr>
            </w:pPr>
            <w:r>
              <w:rPr>
                <w:rFonts w:hint="eastAsia" w:ascii="宋体" w:hAnsi="宋体" w:cs="宋体"/>
                <w:color w:val="auto"/>
                <w:szCs w:val="21"/>
                <w:highlight w:val="none"/>
              </w:rPr>
              <w:t>抽样数量</w:t>
            </w:r>
          </w:p>
        </w:tc>
        <w:tc>
          <w:tcPr>
            <w:tcW w:w="2494" w:type="dxa"/>
            <w:noWrap w:val="0"/>
            <w:vAlign w:val="center"/>
          </w:tcPr>
          <w:p w14:paraId="52534870">
            <w:pPr>
              <w:jc w:val="center"/>
              <w:rPr>
                <w:rFonts w:ascii="宋体" w:hAnsi="宋体" w:cs="宋体"/>
                <w:color w:val="auto"/>
                <w:szCs w:val="21"/>
                <w:highlight w:val="none"/>
              </w:rPr>
            </w:pPr>
            <w:r>
              <w:rPr>
                <w:rFonts w:hint="eastAsia" w:ascii="宋体" w:hAnsi="宋体" w:cs="宋体"/>
                <w:color w:val="auto"/>
                <w:szCs w:val="21"/>
                <w:highlight w:val="none"/>
              </w:rPr>
              <w:t>加严检验</w:t>
            </w:r>
          </w:p>
          <w:p w14:paraId="7AE0228F">
            <w:pPr>
              <w:jc w:val="center"/>
              <w:rPr>
                <w:rFonts w:ascii="宋体" w:hAnsi="宋体" w:cs="宋体"/>
                <w:color w:val="auto"/>
                <w:szCs w:val="21"/>
                <w:highlight w:val="none"/>
              </w:rPr>
            </w:pPr>
            <w:r>
              <w:rPr>
                <w:rFonts w:hint="eastAsia" w:ascii="宋体" w:hAnsi="宋体" w:cs="宋体"/>
                <w:color w:val="auto"/>
                <w:szCs w:val="21"/>
                <w:highlight w:val="none"/>
              </w:rPr>
              <w:t>抽样数量</w:t>
            </w:r>
          </w:p>
        </w:tc>
      </w:tr>
      <w:tr w14:paraId="565D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1CBC297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874" w:type="dxa"/>
            <w:noWrap/>
            <w:vAlign w:val="center"/>
          </w:tcPr>
          <w:p w14:paraId="5F314802">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≤1000</w:t>
            </w:r>
          </w:p>
        </w:tc>
        <w:tc>
          <w:tcPr>
            <w:tcW w:w="2371" w:type="dxa"/>
            <w:noWrap w:val="0"/>
            <w:vAlign w:val="center"/>
          </w:tcPr>
          <w:p w14:paraId="52FE2DD5">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494" w:type="dxa"/>
            <w:noWrap w:val="0"/>
            <w:vAlign w:val="top"/>
          </w:tcPr>
          <w:p w14:paraId="43423D3E">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14:paraId="22AC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4401E5EA">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874" w:type="dxa"/>
            <w:noWrap/>
            <w:vAlign w:val="center"/>
          </w:tcPr>
          <w:p w14:paraId="3CD12E7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1000～3000</w:t>
            </w:r>
          </w:p>
        </w:tc>
        <w:tc>
          <w:tcPr>
            <w:tcW w:w="2371" w:type="dxa"/>
            <w:noWrap w:val="0"/>
            <w:vAlign w:val="center"/>
          </w:tcPr>
          <w:p w14:paraId="0909EA30">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2494" w:type="dxa"/>
            <w:noWrap w:val="0"/>
            <w:vAlign w:val="top"/>
          </w:tcPr>
          <w:p w14:paraId="17D66F76">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20</w:t>
            </w:r>
          </w:p>
        </w:tc>
      </w:tr>
      <w:tr w14:paraId="2B0E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46" w:type="dxa"/>
            <w:noWrap/>
            <w:vAlign w:val="center"/>
          </w:tcPr>
          <w:p w14:paraId="74923BB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2874" w:type="dxa"/>
            <w:noWrap/>
            <w:vAlign w:val="center"/>
          </w:tcPr>
          <w:p w14:paraId="4CD5F9B8">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＞3000</w:t>
            </w:r>
          </w:p>
        </w:tc>
        <w:tc>
          <w:tcPr>
            <w:tcW w:w="2371" w:type="dxa"/>
            <w:noWrap w:val="0"/>
            <w:vAlign w:val="center"/>
          </w:tcPr>
          <w:p w14:paraId="56FC2D09">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2494" w:type="dxa"/>
            <w:noWrap w:val="0"/>
            <w:vAlign w:val="top"/>
          </w:tcPr>
          <w:p w14:paraId="6153BC9C">
            <w:pPr>
              <w:spacing w:line="460" w:lineRule="exact"/>
              <w:jc w:val="center"/>
              <w:rPr>
                <w:rFonts w:ascii="宋体" w:hAnsi="宋体" w:cs="宋体"/>
                <w:color w:val="auto"/>
                <w:szCs w:val="21"/>
                <w:highlight w:val="none"/>
              </w:rPr>
            </w:pPr>
            <w:r>
              <w:rPr>
                <w:rFonts w:hint="eastAsia" w:ascii="宋体" w:hAnsi="宋体" w:cs="宋体"/>
                <w:color w:val="auto"/>
                <w:szCs w:val="21"/>
                <w:highlight w:val="none"/>
              </w:rPr>
              <w:t>30</w:t>
            </w:r>
          </w:p>
        </w:tc>
      </w:tr>
    </w:tbl>
    <w:p w14:paraId="07F86360">
      <w:pPr>
        <w:spacing w:line="360" w:lineRule="exact"/>
        <w:rPr>
          <w:rFonts w:hint="eastAsia" w:ascii="宋体" w:hAnsi="宋体"/>
          <w:color w:val="auto"/>
          <w:highlight w:val="none"/>
          <w:lang w:val="en-US" w:eastAsia="zh-CN"/>
        </w:rPr>
      </w:pPr>
      <w:r>
        <w:rPr>
          <w:rFonts w:hint="eastAsia" w:ascii="宋体" w:hAnsi="宋体"/>
          <w:color w:val="auto"/>
          <w:szCs w:val="21"/>
          <w:highlight w:val="none"/>
        </w:rPr>
        <w:t>备注：表中规定的抽样数量仅为抽样要求的最低标准，可根据现场检验资源增加抽样数量。</w:t>
      </w:r>
      <w:r>
        <w:rPr>
          <w:rFonts w:hint="eastAsia" w:ascii="宋体" w:hAnsi="宋体"/>
          <w:color w:val="auto"/>
          <w:szCs w:val="21"/>
          <w:highlight w:val="none"/>
        </w:rPr>
        <w:br w:type="textWrapping"/>
      </w:r>
      <w:r>
        <w:rPr>
          <w:rFonts w:hint="eastAsia" w:ascii="宋体" w:hAnsi="宋体"/>
          <w:color w:val="auto"/>
          <w:szCs w:val="21"/>
          <w:highlight w:val="none"/>
          <w:lang w:val="en-US" w:eastAsia="zh-CN"/>
        </w:rPr>
        <w:t xml:space="preserve">    </w:t>
      </w:r>
      <w:r>
        <w:rPr>
          <w:rFonts w:hint="eastAsia" w:ascii="宋体" w:hAnsi="宋体"/>
          <w:color w:val="auto"/>
          <w:highlight w:val="none"/>
          <w:lang w:val="en-US" w:eastAsia="zh-CN"/>
        </w:rPr>
        <w:t>9</w:t>
      </w:r>
      <w:r>
        <w:rPr>
          <w:rFonts w:ascii="宋体" w:hAnsi="宋体"/>
          <w:color w:val="auto"/>
          <w:highlight w:val="none"/>
        </w:rPr>
        <w:t>.</w:t>
      </w:r>
      <w:r>
        <w:rPr>
          <w:rFonts w:hint="eastAsia" w:ascii="宋体" w:hAnsi="宋体"/>
          <w:color w:val="auto"/>
          <w:highlight w:val="none"/>
          <w:lang w:val="en-US" w:eastAsia="zh-CN"/>
        </w:rPr>
        <w:t>3</w:t>
      </w:r>
      <w:r>
        <w:rPr>
          <w:rFonts w:ascii="宋体" w:hAnsi="宋体"/>
          <w:color w:val="auto"/>
          <w:szCs w:val="21"/>
          <w:highlight w:val="none"/>
        </w:rPr>
        <w:t>.4.</w:t>
      </w:r>
      <w:r>
        <w:rPr>
          <w:rFonts w:hint="eastAsia" w:ascii="宋体" w:hAnsi="宋体"/>
          <w:color w:val="auto"/>
          <w:szCs w:val="21"/>
          <w:highlight w:val="none"/>
          <w:lang w:val="en-US" w:eastAsia="zh-CN"/>
        </w:rPr>
        <w:t>3具体相关质量要求请按照卡车公司质量部下发的KC08020113-《工序委外质量控制管理流程》进行质量检验监督检查。</w:t>
      </w:r>
    </w:p>
    <w:p w14:paraId="7059DF50">
      <w:pPr>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10、工序外包有效期</w:t>
      </w:r>
    </w:p>
    <w:p w14:paraId="60B61665">
      <w:pPr>
        <w:pageBreakBefore w:val="0"/>
        <w:widowControl w:val="0"/>
        <w:numPr>
          <w:ilvl w:val="0"/>
          <w:numId w:val="0"/>
        </w:numPr>
        <w:kinsoku/>
        <w:wordWrap/>
        <w:overflowPunct/>
        <w:topLinePunct w:val="0"/>
        <w:autoSpaceDE/>
        <w:autoSpaceDN/>
        <w:bidi w:val="0"/>
        <w:adjustRightInd/>
        <w:snapToGrid/>
        <w:spacing w:line="360" w:lineRule="exact"/>
        <w:ind w:firstLine="560" w:firstLineChars="200"/>
        <w:jc w:val="left"/>
        <w:textAlignment w:val="auto"/>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对济南卡车制造公司车架一部2026年电泳线业务外包进行招标，工序外包有效期为2026年1月1日至2026年12月31日。</w:t>
      </w:r>
    </w:p>
    <w:p w14:paraId="3D747DC5">
      <w:pPr>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sz w:val="28"/>
          <w:szCs w:val="28"/>
          <w:highlight w:val="none"/>
        </w:rPr>
      </w:pPr>
      <w:r>
        <w:rPr>
          <w:rFonts w:hint="eastAsia" w:ascii="仿宋" w:hAnsi="仿宋" w:eastAsia="仿宋" w:cs="仿宋"/>
          <w:b/>
          <w:bCs/>
          <w:sz w:val="28"/>
          <w:szCs w:val="28"/>
          <w:highlight w:val="none"/>
          <w:lang w:val="en-US" w:eastAsia="zh-CN"/>
        </w:rPr>
        <w:t>11、其他</w:t>
      </w:r>
    </w:p>
    <w:p w14:paraId="1F0A01DD">
      <w:pPr>
        <w:pStyle w:val="4"/>
        <w:pageBreakBefore w:val="0"/>
        <w:widowControl w:val="0"/>
        <w:kinsoku/>
        <w:wordWrap/>
        <w:overflowPunct/>
        <w:topLinePunct w:val="0"/>
        <w:autoSpaceDE/>
        <w:autoSpaceDN/>
        <w:bidi w:val="0"/>
        <w:adjustRightInd/>
        <w:snapToGrid/>
        <w:spacing w:line="360" w:lineRule="exact"/>
        <w:ind w:firstLine="562"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相关责任部门应按照集团公司关于外包方的管理办法和要求，完成与外包方《相关方安全协议》、《技术质量保证协议》、《廉洁诚信协议》等文件签订。</w:t>
      </w:r>
    </w:p>
    <w:p w14:paraId="0EE535D8">
      <w:r>
        <w:br w:type="page"/>
      </w:r>
    </w:p>
    <w:p w14:paraId="5871DF53">
      <w:pPr>
        <w:pStyle w:val="71"/>
      </w:pPr>
      <w:bookmarkStart w:id="19" w:name="_Toc20595"/>
      <w:bookmarkStart w:id="20" w:name="_Toc47976609"/>
      <w:r>
        <w:rPr>
          <w:rFonts w:hint="eastAsia"/>
        </w:rPr>
        <w:t>第三部分　合同主要条款</w:t>
      </w:r>
      <w:bookmarkEnd w:id="19"/>
      <w:bookmarkEnd w:id="20"/>
    </w:p>
    <w:p w14:paraId="23914DBE">
      <w:pPr>
        <w:pStyle w:val="72"/>
        <w:numPr>
          <w:ilvl w:val="0"/>
          <w:numId w:val="33"/>
        </w:numPr>
        <w:ind w:left="420"/>
      </w:pPr>
      <w:bookmarkStart w:id="21" w:name="_Toc47976610"/>
      <w:r>
        <w:rPr>
          <w:rFonts w:hint="eastAsia"/>
          <w:lang w:val="en-US" w:eastAsia="zh-CN"/>
        </w:rPr>
        <w:t>标的、数量、</w:t>
      </w:r>
      <w:r>
        <w:rPr>
          <w:rFonts w:hint="eastAsia"/>
        </w:rPr>
        <w:t>交货期</w:t>
      </w:r>
      <w:bookmarkEnd w:id="21"/>
    </w:p>
    <w:p w14:paraId="18603CA8">
      <w:pPr>
        <w:pStyle w:val="72"/>
      </w:pPr>
      <w:bookmarkStart w:id="22" w:name="_Toc47976611"/>
      <w:r>
        <w:rPr>
          <w:rFonts w:hint="eastAsia"/>
        </w:rPr>
        <w:t>交货地点</w:t>
      </w:r>
      <w:bookmarkEnd w:id="22"/>
    </w:p>
    <w:p w14:paraId="3F03A936">
      <w:pPr>
        <w:pStyle w:val="72"/>
      </w:pPr>
      <w:bookmarkStart w:id="23" w:name="_Toc47976612"/>
      <w:r>
        <w:rPr>
          <w:rFonts w:hint="eastAsia"/>
          <w:lang w:val="en-US" w:eastAsia="zh-CN"/>
        </w:rPr>
        <w:t>价款及</w:t>
      </w:r>
      <w:r>
        <w:rPr>
          <w:rFonts w:hint="eastAsia"/>
        </w:rPr>
        <w:t>付款方式</w:t>
      </w:r>
      <w:bookmarkEnd w:id="23"/>
    </w:p>
    <w:p w14:paraId="0A7F4E98">
      <w:pPr>
        <w:pStyle w:val="72"/>
      </w:pPr>
      <w:bookmarkStart w:id="24" w:name="_Toc47976613"/>
      <w:r>
        <w:rPr>
          <w:rFonts w:hint="eastAsia"/>
          <w:lang w:val="en-US" w:eastAsia="zh-CN"/>
        </w:rPr>
        <w:t>质量要求、</w:t>
      </w:r>
      <w:r>
        <w:rPr>
          <w:rFonts w:hint="eastAsia"/>
        </w:rPr>
        <w:t>保修期及售后服务</w:t>
      </w:r>
      <w:bookmarkEnd w:id="24"/>
    </w:p>
    <w:p w14:paraId="50F6C5C1">
      <w:pPr>
        <w:pStyle w:val="72"/>
      </w:pPr>
      <w:bookmarkStart w:id="25" w:name="_Toc47976614"/>
      <w:r>
        <w:rPr>
          <w:rFonts w:hint="eastAsia"/>
        </w:rPr>
        <w:t>安装、调试及验收要求</w:t>
      </w:r>
      <w:bookmarkEnd w:id="2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600DE1DD">
      <w:pPr>
        <w:pStyle w:val="71"/>
        <w:jc w:val="left"/>
        <w:rPr>
          <w:rFonts w:hint="eastAsia" w:ascii="宋体" w:hAnsi="宋体" w:eastAsia="宋体" w:cs="宋体"/>
          <w:sz w:val="32"/>
          <w:szCs w:val="32"/>
          <w:highlight w:val="yellow"/>
          <w:lang w:eastAsia="zh-CN"/>
        </w:rPr>
      </w:pPr>
      <w:bookmarkStart w:id="28" w:name="_Toc47976616"/>
      <w:bookmarkStart w:id="29" w:name="_Toc4225"/>
      <w:r>
        <w:rPr>
          <w:rFonts w:hint="eastAsia" w:ascii="宋体" w:hAnsi="宋体" w:eastAsia="宋体" w:cs="宋体"/>
          <w:sz w:val="32"/>
          <w:szCs w:val="32"/>
          <w:highlight w:val="yellow"/>
        </w:rPr>
        <w:t>附件</w:t>
      </w:r>
      <w:bookmarkEnd w:id="28"/>
      <w:bookmarkEnd w:id="29"/>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0" w:name="_Toc47976618"/>
      <w:bookmarkStart w:id="31" w:name="_Toc29366865"/>
      <w:bookmarkStart w:id="32" w:name="_Toc29366869"/>
      <w:r>
        <w:rPr>
          <w:rFonts w:hint="eastAsia" w:ascii="宋体" w:hAnsi="宋体" w:eastAsia="宋体" w:cs="宋体"/>
          <w:sz w:val="32"/>
          <w:szCs w:val="32"/>
          <w:highlight w:val="yellow"/>
          <w:lang w:val="en-US" w:eastAsia="zh-CN"/>
        </w:rPr>
        <w:t>附件2</w:t>
      </w:r>
    </w:p>
    <w:bookmarkEnd w:id="30"/>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1"/>
    <w:bookmarkEnd w:id="32"/>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23E75332">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4DC52569">
      <w:pPr>
        <w:rPr>
          <w:rFonts w:ascii="宋体" w:hAnsi="宋体"/>
          <w:highlight w:val="none"/>
        </w:rPr>
      </w:pPr>
      <w:r>
        <w:rPr>
          <w:rFonts w:hint="eastAsia" w:ascii="宋体" w:hAnsi="宋体"/>
          <w:highlight w:val="none"/>
        </w:rPr>
        <w:t>项目名称：(XX项目)</w:t>
      </w:r>
    </w:p>
    <w:p w14:paraId="7C5EEEFF">
      <w:pPr>
        <w:rPr>
          <w:rFonts w:ascii="宋体" w:hAnsi="宋体"/>
          <w:highlight w:val="none"/>
        </w:rPr>
      </w:pPr>
    </w:p>
    <w:p w14:paraId="6E3467C4">
      <w:pPr>
        <w:rPr>
          <w:rFonts w:ascii="宋体" w:hAnsi="宋体"/>
          <w:szCs w:val="21"/>
          <w:highlight w:val="none"/>
        </w:rPr>
      </w:pPr>
      <w:r>
        <w:rPr>
          <w:rFonts w:hint="eastAsia" w:ascii="宋体" w:hAnsi="宋体"/>
          <w:szCs w:val="21"/>
          <w:highlight w:val="none"/>
        </w:rPr>
        <w:t>日期：  年   月   日</w:t>
      </w:r>
    </w:p>
    <w:p w14:paraId="278B8445">
      <w:pPr>
        <w:jc w:val="center"/>
        <w:rPr>
          <w:rFonts w:eastAsia="黑体"/>
          <w:b/>
          <w:bCs/>
          <w:sz w:val="28"/>
          <w:highlight w:val="none"/>
        </w:rPr>
      </w:pPr>
    </w:p>
    <w:p w14:paraId="4E16171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42C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745D662F">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395B0C6F">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73E794A8">
            <w:pPr>
              <w:jc w:val="center"/>
              <w:rPr>
                <w:rFonts w:ascii="宋体" w:hAnsi="宋体"/>
                <w:sz w:val="24"/>
                <w:highlight w:val="none"/>
              </w:rPr>
            </w:pPr>
            <w:r>
              <w:rPr>
                <w:rFonts w:hint="eastAsia" w:ascii="宋体" w:hAnsi="宋体"/>
                <w:sz w:val="24"/>
                <w:highlight w:val="none"/>
              </w:rPr>
              <w:t>偏离内容</w:t>
            </w:r>
          </w:p>
        </w:tc>
      </w:tr>
      <w:tr w14:paraId="601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CAC8D2F">
            <w:pPr>
              <w:rPr>
                <w:rFonts w:ascii="宋体" w:hAnsi="宋体"/>
                <w:sz w:val="24"/>
                <w:highlight w:val="none"/>
              </w:rPr>
            </w:pPr>
          </w:p>
        </w:tc>
        <w:tc>
          <w:tcPr>
            <w:tcW w:w="1080" w:type="dxa"/>
            <w:vAlign w:val="center"/>
          </w:tcPr>
          <w:p w14:paraId="10C57CF7">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4D648324">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302B1B1A">
            <w:pPr>
              <w:jc w:val="center"/>
              <w:rPr>
                <w:rFonts w:ascii="宋体" w:hAnsi="宋体"/>
                <w:sz w:val="24"/>
                <w:highlight w:val="none"/>
              </w:rPr>
            </w:pPr>
          </w:p>
        </w:tc>
      </w:tr>
      <w:tr w14:paraId="1112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922EA">
            <w:pPr>
              <w:jc w:val="center"/>
              <w:rPr>
                <w:rFonts w:ascii="宋体" w:hAnsi="宋体"/>
                <w:sz w:val="24"/>
                <w:highlight w:val="none"/>
              </w:rPr>
            </w:pPr>
            <w:r>
              <w:rPr>
                <w:rFonts w:hint="eastAsia" w:ascii="宋体" w:hAnsi="宋体"/>
                <w:sz w:val="24"/>
                <w:highlight w:val="none"/>
              </w:rPr>
              <w:t>1</w:t>
            </w:r>
          </w:p>
        </w:tc>
        <w:tc>
          <w:tcPr>
            <w:tcW w:w="1080" w:type="dxa"/>
            <w:vAlign w:val="center"/>
          </w:tcPr>
          <w:p w14:paraId="538ABA5F">
            <w:pPr>
              <w:rPr>
                <w:rFonts w:ascii="宋体" w:hAnsi="宋体"/>
                <w:sz w:val="24"/>
                <w:highlight w:val="none"/>
              </w:rPr>
            </w:pPr>
          </w:p>
        </w:tc>
        <w:tc>
          <w:tcPr>
            <w:tcW w:w="3060" w:type="dxa"/>
            <w:vAlign w:val="center"/>
          </w:tcPr>
          <w:p w14:paraId="3C498C71">
            <w:pPr>
              <w:rPr>
                <w:rFonts w:ascii="宋体" w:hAnsi="宋体"/>
                <w:sz w:val="24"/>
                <w:highlight w:val="none"/>
              </w:rPr>
            </w:pPr>
          </w:p>
        </w:tc>
        <w:tc>
          <w:tcPr>
            <w:tcW w:w="3554" w:type="dxa"/>
            <w:vAlign w:val="center"/>
          </w:tcPr>
          <w:p w14:paraId="2F6E3968">
            <w:pPr>
              <w:rPr>
                <w:rFonts w:ascii="宋体" w:hAnsi="宋体"/>
                <w:sz w:val="24"/>
                <w:highlight w:val="none"/>
              </w:rPr>
            </w:pPr>
          </w:p>
        </w:tc>
      </w:tr>
      <w:tr w14:paraId="76B9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40B3D6B">
            <w:pPr>
              <w:jc w:val="center"/>
              <w:rPr>
                <w:rFonts w:ascii="宋体" w:hAnsi="宋体"/>
                <w:sz w:val="24"/>
                <w:highlight w:val="none"/>
              </w:rPr>
            </w:pPr>
            <w:r>
              <w:rPr>
                <w:rFonts w:hint="eastAsia" w:ascii="宋体" w:hAnsi="宋体"/>
                <w:sz w:val="24"/>
                <w:highlight w:val="none"/>
              </w:rPr>
              <w:t>2</w:t>
            </w:r>
          </w:p>
        </w:tc>
        <w:tc>
          <w:tcPr>
            <w:tcW w:w="1080" w:type="dxa"/>
            <w:vAlign w:val="center"/>
          </w:tcPr>
          <w:p w14:paraId="2AD3B2F3">
            <w:pPr>
              <w:rPr>
                <w:rFonts w:ascii="宋体" w:hAnsi="宋体"/>
                <w:sz w:val="24"/>
                <w:highlight w:val="none"/>
              </w:rPr>
            </w:pPr>
          </w:p>
        </w:tc>
        <w:tc>
          <w:tcPr>
            <w:tcW w:w="3060" w:type="dxa"/>
            <w:vAlign w:val="center"/>
          </w:tcPr>
          <w:p w14:paraId="7F9B0AE5">
            <w:pPr>
              <w:rPr>
                <w:rFonts w:ascii="宋体" w:hAnsi="宋体"/>
                <w:sz w:val="24"/>
                <w:highlight w:val="none"/>
              </w:rPr>
            </w:pPr>
          </w:p>
        </w:tc>
        <w:tc>
          <w:tcPr>
            <w:tcW w:w="3554" w:type="dxa"/>
            <w:vAlign w:val="center"/>
          </w:tcPr>
          <w:p w14:paraId="010C3404">
            <w:pPr>
              <w:rPr>
                <w:rFonts w:ascii="宋体" w:hAnsi="宋体"/>
                <w:sz w:val="24"/>
                <w:highlight w:val="none"/>
              </w:rPr>
            </w:pPr>
          </w:p>
        </w:tc>
      </w:tr>
      <w:tr w14:paraId="46F5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1868C2">
            <w:pPr>
              <w:jc w:val="center"/>
              <w:rPr>
                <w:rFonts w:ascii="宋体" w:hAnsi="宋体"/>
                <w:sz w:val="24"/>
                <w:highlight w:val="none"/>
              </w:rPr>
            </w:pPr>
            <w:r>
              <w:rPr>
                <w:rFonts w:hint="eastAsia" w:ascii="宋体" w:hAnsi="宋体"/>
                <w:sz w:val="24"/>
                <w:highlight w:val="none"/>
              </w:rPr>
              <w:t>3</w:t>
            </w:r>
          </w:p>
        </w:tc>
        <w:tc>
          <w:tcPr>
            <w:tcW w:w="1080" w:type="dxa"/>
            <w:vAlign w:val="center"/>
          </w:tcPr>
          <w:p w14:paraId="7A8D31EC">
            <w:pPr>
              <w:rPr>
                <w:rFonts w:ascii="宋体" w:hAnsi="宋体"/>
                <w:sz w:val="24"/>
                <w:highlight w:val="none"/>
              </w:rPr>
            </w:pPr>
          </w:p>
        </w:tc>
        <w:tc>
          <w:tcPr>
            <w:tcW w:w="3060" w:type="dxa"/>
            <w:vAlign w:val="center"/>
          </w:tcPr>
          <w:p w14:paraId="756B7DFC">
            <w:pPr>
              <w:rPr>
                <w:rFonts w:ascii="宋体" w:hAnsi="宋体"/>
                <w:sz w:val="24"/>
                <w:highlight w:val="none"/>
              </w:rPr>
            </w:pPr>
          </w:p>
        </w:tc>
        <w:tc>
          <w:tcPr>
            <w:tcW w:w="3554" w:type="dxa"/>
            <w:vAlign w:val="center"/>
          </w:tcPr>
          <w:p w14:paraId="4D87A192">
            <w:pPr>
              <w:rPr>
                <w:rFonts w:ascii="宋体" w:hAnsi="宋体"/>
                <w:sz w:val="24"/>
                <w:highlight w:val="none"/>
              </w:rPr>
            </w:pPr>
          </w:p>
        </w:tc>
      </w:tr>
      <w:tr w14:paraId="6EBF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2605B">
            <w:pPr>
              <w:jc w:val="center"/>
              <w:rPr>
                <w:rFonts w:ascii="宋体" w:hAnsi="宋体"/>
                <w:sz w:val="24"/>
                <w:highlight w:val="none"/>
              </w:rPr>
            </w:pPr>
            <w:r>
              <w:rPr>
                <w:rFonts w:hint="eastAsia" w:ascii="宋体" w:hAnsi="宋体"/>
                <w:sz w:val="24"/>
                <w:highlight w:val="none"/>
              </w:rPr>
              <w:t>4</w:t>
            </w:r>
          </w:p>
        </w:tc>
        <w:tc>
          <w:tcPr>
            <w:tcW w:w="1080" w:type="dxa"/>
            <w:vAlign w:val="center"/>
          </w:tcPr>
          <w:p w14:paraId="15952CF5">
            <w:pPr>
              <w:rPr>
                <w:rFonts w:ascii="宋体" w:hAnsi="宋体"/>
                <w:sz w:val="24"/>
                <w:highlight w:val="none"/>
              </w:rPr>
            </w:pPr>
          </w:p>
        </w:tc>
        <w:tc>
          <w:tcPr>
            <w:tcW w:w="3060" w:type="dxa"/>
            <w:vAlign w:val="center"/>
          </w:tcPr>
          <w:p w14:paraId="62A65E7B">
            <w:pPr>
              <w:rPr>
                <w:rFonts w:ascii="宋体" w:hAnsi="宋体"/>
                <w:sz w:val="24"/>
                <w:highlight w:val="none"/>
              </w:rPr>
            </w:pPr>
          </w:p>
        </w:tc>
        <w:tc>
          <w:tcPr>
            <w:tcW w:w="3554" w:type="dxa"/>
            <w:vAlign w:val="center"/>
          </w:tcPr>
          <w:p w14:paraId="408F497A">
            <w:pPr>
              <w:rPr>
                <w:rFonts w:ascii="宋体" w:hAnsi="宋体"/>
                <w:sz w:val="24"/>
                <w:highlight w:val="none"/>
              </w:rPr>
            </w:pPr>
          </w:p>
        </w:tc>
      </w:tr>
      <w:tr w14:paraId="6150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F085D5">
            <w:pPr>
              <w:jc w:val="center"/>
              <w:rPr>
                <w:rFonts w:ascii="宋体" w:hAnsi="宋体"/>
                <w:sz w:val="24"/>
                <w:highlight w:val="none"/>
              </w:rPr>
            </w:pPr>
            <w:r>
              <w:rPr>
                <w:rFonts w:hint="eastAsia" w:ascii="宋体" w:hAnsi="宋体"/>
                <w:sz w:val="24"/>
                <w:highlight w:val="none"/>
              </w:rPr>
              <w:t>5</w:t>
            </w:r>
          </w:p>
        </w:tc>
        <w:tc>
          <w:tcPr>
            <w:tcW w:w="1080" w:type="dxa"/>
            <w:vAlign w:val="center"/>
          </w:tcPr>
          <w:p w14:paraId="3403E861">
            <w:pPr>
              <w:rPr>
                <w:rFonts w:ascii="宋体" w:hAnsi="宋体"/>
                <w:sz w:val="24"/>
                <w:highlight w:val="none"/>
              </w:rPr>
            </w:pPr>
          </w:p>
        </w:tc>
        <w:tc>
          <w:tcPr>
            <w:tcW w:w="3060" w:type="dxa"/>
            <w:vAlign w:val="center"/>
          </w:tcPr>
          <w:p w14:paraId="237ECA7D">
            <w:pPr>
              <w:rPr>
                <w:rFonts w:ascii="宋体" w:hAnsi="宋体"/>
                <w:sz w:val="24"/>
                <w:highlight w:val="none"/>
              </w:rPr>
            </w:pPr>
          </w:p>
        </w:tc>
        <w:tc>
          <w:tcPr>
            <w:tcW w:w="3554" w:type="dxa"/>
            <w:vAlign w:val="center"/>
          </w:tcPr>
          <w:p w14:paraId="59C54394">
            <w:pPr>
              <w:rPr>
                <w:rFonts w:ascii="宋体" w:hAnsi="宋体"/>
                <w:sz w:val="24"/>
                <w:highlight w:val="none"/>
              </w:rPr>
            </w:pPr>
          </w:p>
        </w:tc>
      </w:tr>
      <w:tr w14:paraId="142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6C5A1DA">
            <w:pPr>
              <w:jc w:val="center"/>
              <w:rPr>
                <w:rFonts w:ascii="宋体" w:hAnsi="宋体"/>
                <w:sz w:val="24"/>
                <w:highlight w:val="none"/>
              </w:rPr>
            </w:pPr>
            <w:r>
              <w:rPr>
                <w:rFonts w:hint="eastAsia" w:ascii="宋体" w:hAnsi="宋体"/>
                <w:sz w:val="24"/>
                <w:highlight w:val="none"/>
              </w:rPr>
              <w:t>6</w:t>
            </w:r>
          </w:p>
        </w:tc>
        <w:tc>
          <w:tcPr>
            <w:tcW w:w="1080" w:type="dxa"/>
            <w:vAlign w:val="center"/>
          </w:tcPr>
          <w:p w14:paraId="591E72D4">
            <w:pPr>
              <w:rPr>
                <w:rFonts w:ascii="宋体" w:hAnsi="宋体"/>
                <w:sz w:val="24"/>
                <w:highlight w:val="none"/>
              </w:rPr>
            </w:pPr>
          </w:p>
        </w:tc>
        <w:tc>
          <w:tcPr>
            <w:tcW w:w="3060" w:type="dxa"/>
            <w:vAlign w:val="center"/>
          </w:tcPr>
          <w:p w14:paraId="214B514F">
            <w:pPr>
              <w:rPr>
                <w:rFonts w:ascii="宋体" w:hAnsi="宋体"/>
                <w:sz w:val="24"/>
                <w:highlight w:val="none"/>
              </w:rPr>
            </w:pPr>
          </w:p>
        </w:tc>
        <w:tc>
          <w:tcPr>
            <w:tcW w:w="3554" w:type="dxa"/>
            <w:vAlign w:val="center"/>
          </w:tcPr>
          <w:p w14:paraId="388AB4ED">
            <w:pPr>
              <w:rPr>
                <w:rFonts w:ascii="宋体" w:hAnsi="宋体"/>
                <w:sz w:val="24"/>
                <w:highlight w:val="none"/>
              </w:rPr>
            </w:pPr>
          </w:p>
        </w:tc>
      </w:tr>
      <w:tr w14:paraId="460B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139E5C3">
            <w:pPr>
              <w:jc w:val="center"/>
              <w:rPr>
                <w:rFonts w:ascii="宋体" w:hAnsi="宋体"/>
                <w:sz w:val="24"/>
                <w:highlight w:val="none"/>
              </w:rPr>
            </w:pPr>
            <w:r>
              <w:rPr>
                <w:rFonts w:hint="eastAsia" w:ascii="宋体" w:hAnsi="宋体"/>
                <w:sz w:val="24"/>
                <w:highlight w:val="none"/>
              </w:rPr>
              <w:t>7</w:t>
            </w:r>
          </w:p>
        </w:tc>
        <w:tc>
          <w:tcPr>
            <w:tcW w:w="1080" w:type="dxa"/>
            <w:vAlign w:val="center"/>
          </w:tcPr>
          <w:p w14:paraId="7A2B3692">
            <w:pPr>
              <w:rPr>
                <w:rFonts w:ascii="宋体" w:hAnsi="宋体"/>
                <w:sz w:val="24"/>
                <w:highlight w:val="none"/>
              </w:rPr>
            </w:pPr>
          </w:p>
        </w:tc>
        <w:tc>
          <w:tcPr>
            <w:tcW w:w="3060" w:type="dxa"/>
            <w:vAlign w:val="center"/>
          </w:tcPr>
          <w:p w14:paraId="43D5BC50">
            <w:pPr>
              <w:rPr>
                <w:rFonts w:ascii="宋体" w:hAnsi="宋体"/>
                <w:sz w:val="24"/>
                <w:highlight w:val="none"/>
              </w:rPr>
            </w:pPr>
          </w:p>
        </w:tc>
        <w:tc>
          <w:tcPr>
            <w:tcW w:w="3554" w:type="dxa"/>
            <w:vAlign w:val="center"/>
          </w:tcPr>
          <w:p w14:paraId="1EB034FF">
            <w:pPr>
              <w:rPr>
                <w:rFonts w:ascii="宋体" w:hAnsi="宋体"/>
                <w:sz w:val="24"/>
                <w:highlight w:val="none"/>
              </w:rPr>
            </w:pPr>
          </w:p>
        </w:tc>
      </w:tr>
      <w:tr w14:paraId="245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51735A">
            <w:pPr>
              <w:jc w:val="center"/>
              <w:rPr>
                <w:rFonts w:ascii="宋体" w:hAnsi="宋体"/>
                <w:sz w:val="24"/>
                <w:highlight w:val="none"/>
              </w:rPr>
            </w:pPr>
            <w:r>
              <w:rPr>
                <w:rFonts w:hint="eastAsia" w:ascii="宋体" w:hAnsi="宋体"/>
                <w:sz w:val="24"/>
                <w:highlight w:val="none"/>
              </w:rPr>
              <w:t>8</w:t>
            </w:r>
          </w:p>
        </w:tc>
        <w:tc>
          <w:tcPr>
            <w:tcW w:w="1080" w:type="dxa"/>
            <w:vAlign w:val="center"/>
          </w:tcPr>
          <w:p w14:paraId="0A7BF74D">
            <w:pPr>
              <w:rPr>
                <w:rFonts w:ascii="宋体" w:hAnsi="宋体"/>
                <w:sz w:val="24"/>
                <w:highlight w:val="none"/>
              </w:rPr>
            </w:pPr>
          </w:p>
        </w:tc>
        <w:tc>
          <w:tcPr>
            <w:tcW w:w="3060" w:type="dxa"/>
            <w:vAlign w:val="center"/>
          </w:tcPr>
          <w:p w14:paraId="7B67645B">
            <w:pPr>
              <w:rPr>
                <w:rFonts w:ascii="宋体" w:hAnsi="宋体"/>
                <w:sz w:val="24"/>
                <w:highlight w:val="none"/>
              </w:rPr>
            </w:pPr>
          </w:p>
        </w:tc>
        <w:tc>
          <w:tcPr>
            <w:tcW w:w="3554" w:type="dxa"/>
            <w:vAlign w:val="center"/>
          </w:tcPr>
          <w:p w14:paraId="144C59C9">
            <w:pPr>
              <w:rPr>
                <w:rFonts w:ascii="宋体" w:hAnsi="宋体"/>
                <w:sz w:val="24"/>
                <w:highlight w:val="none"/>
              </w:rPr>
            </w:pPr>
          </w:p>
        </w:tc>
      </w:tr>
      <w:tr w14:paraId="3BAF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3616E7">
            <w:pPr>
              <w:jc w:val="center"/>
              <w:rPr>
                <w:rFonts w:ascii="宋体" w:hAnsi="宋体"/>
                <w:sz w:val="24"/>
                <w:highlight w:val="none"/>
              </w:rPr>
            </w:pPr>
            <w:r>
              <w:rPr>
                <w:rFonts w:hint="eastAsia" w:ascii="宋体" w:hAnsi="宋体"/>
                <w:sz w:val="24"/>
                <w:highlight w:val="none"/>
              </w:rPr>
              <w:t>9</w:t>
            </w:r>
          </w:p>
        </w:tc>
        <w:tc>
          <w:tcPr>
            <w:tcW w:w="1080" w:type="dxa"/>
            <w:vAlign w:val="center"/>
          </w:tcPr>
          <w:p w14:paraId="4B369379">
            <w:pPr>
              <w:rPr>
                <w:rFonts w:ascii="宋体" w:hAnsi="宋体"/>
                <w:sz w:val="24"/>
                <w:highlight w:val="none"/>
              </w:rPr>
            </w:pPr>
          </w:p>
        </w:tc>
        <w:tc>
          <w:tcPr>
            <w:tcW w:w="3060" w:type="dxa"/>
            <w:vAlign w:val="center"/>
          </w:tcPr>
          <w:p w14:paraId="55224F27">
            <w:pPr>
              <w:rPr>
                <w:rFonts w:ascii="宋体" w:hAnsi="宋体"/>
                <w:sz w:val="24"/>
                <w:highlight w:val="none"/>
              </w:rPr>
            </w:pPr>
          </w:p>
        </w:tc>
        <w:tc>
          <w:tcPr>
            <w:tcW w:w="3554" w:type="dxa"/>
            <w:vAlign w:val="center"/>
          </w:tcPr>
          <w:p w14:paraId="50639014">
            <w:pPr>
              <w:rPr>
                <w:rFonts w:ascii="宋体" w:hAnsi="宋体"/>
                <w:sz w:val="24"/>
                <w:highlight w:val="none"/>
              </w:rPr>
            </w:pPr>
          </w:p>
        </w:tc>
      </w:tr>
      <w:tr w14:paraId="6CC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9D63E8">
            <w:pPr>
              <w:jc w:val="center"/>
              <w:rPr>
                <w:rFonts w:ascii="宋体" w:hAnsi="宋体"/>
                <w:sz w:val="24"/>
                <w:highlight w:val="none"/>
              </w:rPr>
            </w:pPr>
            <w:r>
              <w:rPr>
                <w:rFonts w:hint="eastAsia" w:ascii="宋体" w:hAnsi="宋体"/>
                <w:sz w:val="24"/>
                <w:highlight w:val="none"/>
              </w:rPr>
              <w:t>10</w:t>
            </w:r>
          </w:p>
        </w:tc>
        <w:tc>
          <w:tcPr>
            <w:tcW w:w="1080" w:type="dxa"/>
            <w:vAlign w:val="center"/>
          </w:tcPr>
          <w:p w14:paraId="5433C2BD">
            <w:pPr>
              <w:rPr>
                <w:rFonts w:ascii="宋体" w:hAnsi="宋体"/>
                <w:sz w:val="24"/>
                <w:highlight w:val="none"/>
              </w:rPr>
            </w:pPr>
          </w:p>
        </w:tc>
        <w:tc>
          <w:tcPr>
            <w:tcW w:w="3060" w:type="dxa"/>
            <w:vAlign w:val="center"/>
          </w:tcPr>
          <w:p w14:paraId="2D1D4A54">
            <w:pPr>
              <w:rPr>
                <w:rFonts w:ascii="宋体" w:hAnsi="宋体"/>
                <w:sz w:val="24"/>
                <w:highlight w:val="none"/>
              </w:rPr>
            </w:pPr>
          </w:p>
        </w:tc>
        <w:tc>
          <w:tcPr>
            <w:tcW w:w="3554" w:type="dxa"/>
            <w:vAlign w:val="center"/>
          </w:tcPr>
          <w:p w14:paraId="668B5942">
            <w:pPr>
              <w:rPr>
                <w:rFonts w:ascii="宋体" w:hAnsi="宋体"/>
                <w:sz w:val="24"/>
                <w:highlight w:val="none"/>
              </w:rPr>
            </w:pPr>
          </w:p>
        </w:tc>
      </w:tr>
    </w:tbl>
    <w:p w14:paraId="5C39E2CC">
      <w:pPr>
        <w:rPr>
          <w:rFonts w:ascii="宋体" w:hAnsi="宋体"/>
          <w:sz w:val="24"/>
          <w:highlight w:val="none"/>
        </w:rPr>
      </w:pPr>
    </w:p>
    <w:p w14:paraId="37AD7380">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61998052">
      <w:pPr>
        <w:rPr>
          <w:rFonts w:ascii="宋体" w:hAnsi="宋体"/>
          <w:sz w:val="24"/>
          <w:highlight w:val="none"/>
        </w:rPr>
      </w:pPr>
    </w:p>
    <w:p w14:paraId="069039FB">
      <w:pPr>
        <w:rPr>
          <w:rFonts w:ascii="宋体" w:hAnsi="宋体"/>
          <w:sz w:val="24"/>
          <w:highlight w:val="none"/>
        </w:rPr>
      </w:pPr>
    </w:p>
    <w:p w14:paraId="016D8BF8">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0309F5CD">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业务外包”，业务主管部门为“制造工程部”。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10FAA73"/>
    <w:multiLevelType w:val="singleLevel"/>
    <w:tmpl w:val="D10FAA73"/>
    <w:lvl w:ilvl="0" w:tentative="0">
      <w:start w:val="6"/>
      <w:numFmt w:val="decimal"/>
      <w:suff w:val="nothing"/>
      <w:lvlText w:val="%1、"/>
      <w:lvlJc w:val="left"/>
    </w:lvl>
  </w:abstractNum>
  <w:abstractNum w:abstractNumId="10">
    <w:nsid w:val="D346AED4"/>
    <w:multiLevelType w:val="singleLevel"/>
    <w:tmpl w:val="D346AED4"/>
    <w:lvl w:ilvl="0" w:tentative="0">
      <w:start w:val="1"/>
      <w:numFmt w:val="decimal"/>
      <w:suff w:val="nothing"/>
      <w:lvlText w:val="（%1）"/>
      <w:lvlJc w:val="left"/>
    </w:lvl>
  </w:abstractNum>
  <w:abstractNum w:abstractNumId="11">
    <w:nsid w:val="D9A4530E"/>
    <w:multiLevelType w:val="singleLevel"/>
    <w:tmpl w:val="D9A4530E"/>
    <w:lvl w:ilvl="0" w:tentative="0">
      <w:start w:val="1"/>
      <w:numFmt w:val="decimal"/>
      <w:lvlText w:val="(%1)"/>
      <w:lvlJc w:val="left"/>
      <w:pPr>
        <w:ind w:left="425" w:hanging="425"/>
      </w:pPr>
      <w:rPr>
        <w:rFonts w:hint="default"/>
      </w:rPr>
    </w:lvl>
  </w:abstractNum>
  <w:abstractNum w:abstractNumId="12">
    <w:nsid w:val="DC3F8C8B"/>
    <w:multiLevelType w:val="singleLevel"/>
    <w:tmpl w:val="DC3F8C8B"/>
    <w:lvl w:ilvl="0" w:tentative="0">
      <w:start w:val="1"/>
      <w:numFmt w:val="decimal"/>
      <w:lvlText w:val="%1."/>
      <w:lvlJc w:val="left"/>
      <w:pPr>
        <w:ind w:left="425" w:hanging="425"/>
      </w:pPr>
      <w:rPr>
        <w:rFonts w:hint="default"/>
      </w:rPr>
    </w:lvl>
  </w:abstractNum>
  <w:abstractNum w:abstractNumId="13">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4">
    <w:nsid w:val="04BF98CE"/>
    <w:multiLevelType w:val="singleLevel"/>
    <w:tmpl w:val="04BF98CE"/>
    <w:lvl w:ilvl="0" w:tentative="0">
      <w:start w:val="1"/>
      <w:numFmt w:val="decimal"/>
      <w:suff w:val="nothing"/>
      <w:lvlText w:val="%1、"/>
      <w:lvlJc w:val="left"/>
    </w:lvl>
  </w:abstractNum>
  <w:abstractNum w:abstractNumId="15">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6">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3265E1EC"/>
    <w:multiLevelType w:val="singleLevel"/>
    <w:tmpl w:val="3265E1EC"/>
    <w:lvl w:ilvl="0" w:tentative="0">
      <w:start w:val="1"/>
      <w:numFmt w:val="decimal"/>
      <w:lvlText w:val="(%1)"/>
      <w:lvlJc w:val="left"/>
      <w:pPr>
        <w:ind w:left="425" w:hanging="425"/>
      </w:pPr>
      <w:rPr>
        <w:rFonts w:hint="default"/>
      </w:rPr>
    </w:lvl>
  </w:abstractNum>
  <w:abstractNum w:abstractNumId="20">
    <w:nsid w:val="3CF6EF77"/>
    <w:multiLevelType w:val="singleLevel"/>
    <w:tmpl w:val="3CF6EF77"/>
    <w:lvl w:ilvl="0" w:tentative="0">
      <w:start w:val="1"/>
      <w:numFmt w:val="decimal"/>
      <w:lvlText w:val="%1."/>
      <w:lvlJc w:val="left"/>
      <w:pPr>
        <w:ind w:left="425" w:hanging="425"/>
      </w:pPr>
      <w:rPr>
        <w:rFonts w:hint="default"/>
      </w:rPr>
    </w:lvl>
  </w:abstractNum>
  <w:abstractNum w:abstractNumId="21">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2">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2F70086"/>
    <w:multiLevelType w:val="singleLevel"/>
    <w:tmpl w:val="52F70086"/>
    <w:lvl w:ilvl="0" w:tentative="0">
      <w:start w:val="1"/>
      <w:numFmt w:val="chineseCounting"/>
      <w:suff w:val="nothing"/>
      <w:lvlText w:val="%1、"/>
      <w:lvlJc w:val="left"/>
      <w:rPr>
        <w:rFonts w:hint="eastAsia"/>
      </w:r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983D379"/>
    <w:multiLevelType w:val="singleLevel"/>
    <w:tmpl w:val="5983D379"/>
    <w:lvl w:ilvl="0" w:tentative="0">
      <w:start w:val="1"/>
      <w:numFmt w:val="decimal"/>
      <w:lvlText w:val="(%1)"/>
      <w:lvlJc w:val="left"/>
      <w:pPr>
        <w:ind w:left="425" w:hanging="425"/>
      </w:pPr>
      <w:rPr>
        <w:rFonts w:hint="default"/>
      </w:rPr>
    </w:lvl>
  </w:abstractNum>
  <w:abstractNum w:abstractNumId="2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8"/>
  </w:num>
  <w:num w:numId="3">
    <w:abstractNumId w:val="26"/>
  </w:num>
  <w:num w:numId="4">
    <w:abstractNumId w:val="23"/>
  </w:num>
  <w:num w:numId="5">
    <w:abstractNumId w:val="15"/>
  </w:num>
  <w:num w:numId="6">
    <w:abstractNumId w:val="17"/>
  </w:num>
  <w:num w:numId="7">
    <w:abstractNumId w:val="18"/>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6"/>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7"/>
  </w:num>
  <w:num w:numId="18">
    <w:abstractNumId w:val="29"/>
  </w:num>
  <w:num w:numId="19">
    <w:abstractNumId w:val="19"/>
  </w:num>
  <w:num w:numId="20">
    <w:abstractNumId w:val="11"/>
  </w:num>
  <w:num w:numId="21">
    <w:abstractNumId w:val="8"/>
  </w:num>
  <w:num w:numId="22">
    <w:abstractNumId w:val="4"/>
  </w:num>
  <w:num w:numId="23">
    <w:abstractNumId w:val="1"/>
  </w:num>
  <w:num w:numId="24">
    <w:abstractNumId w:val="6"/>
  </w:num>
  <w:num w:numId="25">
    <w:abstractNumId w:val="13"/>
  </w:num>
  <w:num w:numId="26">
    <w:abstractNumId w:val="12"/>
  </w:num>
  <w:num w:numId="27">
    <w:abstractNumId w:val="21"/>
  </w:num>
  <w:num w:numId="28">
    <w:abstractNumId w:val="14"/>
  </w:num>
  <w:num w:numId="29">
    <w:abstractNumId w:val="20"/>
  </w:num>
  <w:num w:numId="30">
    <w:abstractNumId w:val="24"/>
  </w:num>
  <w:num w:numId="31">
    <w:abstractNumId w:val="9"/>
  </w:num>
  <w:num w:numId="32">
    <w:abstractNumId w:val="1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933518F"/>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43D69E6"/>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ADC2D91"/>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35</Pages>
  <Words>17528</Words>
  <Characters>19163</Characters>
  <Lines>127</Lines>
  <Paragraphs>35</Paragraphs>
  <TotalTime>0</TotalTime>
  <ScaleCrop>false</ScaleCrop>
  <LinksUpToDate>false</LinksUpToDate>
  <CharactersWithSpaces>19876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2025-11-25T09:03:52Z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